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A8CC" w14:textId="77777777" w:rsidR="0051538E" w:rsidRPr="009E2A1B" w:rsidRDefault="0051538E" w:rsidP="0051538E">
      <w:pPr>
        <w:pStyle w:val="Titre2"/>
        <w:jc w:val="both"/>
        <w:rPr>
          <w:rFonts w:ascii="Cambria" w:hAnsi="Cambria"/>
          <w:i/>
          <w:iCs/>
          <w:sz w:val="28"/>
          <w:szCs w:val="28"/>
          <w:lang w:val="fr-FR"/>
        </w:rPr>
      </w:pPr>
      <w:r w:rsidRPr="009E2A1B">
        <w:rPr>
          <w:rFonts w:ascii="Cambria" w:hAnsi="Cambria"/>
          <w:i/>
          <w:iCs/>
          <w:sz w:val="28"/>
          <w:szCs w:val="28"/>
          <w:lang w:val="fr-FR"/>
        </w:rPr>
        <w:t>LISTE DE PUBLICATIONS</w:t>
      </w:r>
    </w:p>
    <w:p w14:paraId="6D5F615D" w14:textId="77777777" w:rsidR="0051538E" w:rsidRPr="00B72BB0" w:rsidRDefault="0051538E" w:rsidP="0051538E">
      <w:pPr>
        <w:pStyle w:val="Titre3"/>
        <w:jc w:val="both"/>
        <w:rPr>
          <w:rFonts w:ascii="Cambria" w:hAnsi="Cambria"/>
          <w:sz w:val="26"/>
          <w:szCs w:val="26"/>
          <w:lang w:val="fr-FR"/>
        </w:rPr>
      </w:pPr>
      <w:bookmarkStart w:id="0" w:name="_Toc402517530"/>
      <w:bookmarkEnd w:id="0"/>
      <w:r w:rsidRPr="009E2A1B">
        <w:rPr>
          <w:rFonts w:ascii="Cambria" w:hAnsi="Cambria"/>
          <w:sz w:val="26"/>
          <w:szCs w:val="26"/>
          <w:lang w:val="fr-FR"/>
        </w:rPr>
        <w:t>Livre</w:t>
      </w:r>
    </w:p>
    <w:p w14:paraId="7F272305" w14:textId="77777777" w:rsidR="0051538E" w:rsidRDefault="0051538E" w:rsidP="0051538E">
      <w:pPr>
        <w:pStyle w:val="NormalWeb"/>
        <w:spacing w:after="0"/>
        <w:jc w:val="both"/>
        <w:rPr>
          <w:rFonts w:ascii="Garamond" w:hAnsi="Garamond"/>
        </w:rPr>
      </w:pPr>
      <w:r w:rsidRPr="00180CD5">
        <w:rPr>
          <w:rFonts w:ascii="Garamond" w:hAnsi="Garamond"/>
          <w:i/>
          <w:iCs/>
        </w:rPr>
        <w:t>Tran</w:t>
      </w:r>
      <w:r>
        <w:rPr>
          <w:rFonts w:ascii="Garamond" w:hAnsi="Garamond"/>
          <w:i/>
          <w:iCs/>
        </w:rPr>
        <w:t>s</w:t>
      </w:r>
      <w:r w:rsidRPr="00180CD5">
        <w:rPr>
          <w:rFonts w:ascii="Garamond" w:hAnsi="Garamond"/>
          <w:i/>
          <w:iCs/>
        </w:rPr>
        <w:t>former le monde ? L'efficace de la philosophie en temps de révolution</w:t>
      </w:r>
      <w:r w:rsidRPr="00180CD5">
        <w:rPr>
          <w:rFonts w:ascii="Garamond" w:hAnsi="Garamond"/>
        </w:rPr>
        <w:t>, Paris, Éditions de la Maisons des Sciences de l'Homme, 2016.</w:t>
      </w:r>
    </w:p>
    <w:p w14:paraId="1B7768EF" w14:textId="77777777" w:rsidR="0051538E" w:rsidRPr="009E2A1B" w:rsidRDefault="0051538E" w:rsidP="0051538E">
      <w:pPr>
        <w:pStyle w:val="Titre3"/>
        <w:spacing w:before="240"/>
        <w:jc w:val="both"/>
        <w:rPr>
          <w:rFonts w:ascii="Cambria" w:hAnsi="Cambria"/>
          <w:sz w:val="26"/>
          <w:szCs w:val="26"/>
          <w:lang w:val="fr-FR"/>
        </w:rPr>
      </w:pPr>
      <w:bookmarkStart w:id="1" w:name="_Toc402517531"/>
      <w:bookmarkEnd w:id="1"/>
      <w:r w:rsidRPr="009E2A1B">
        <w:rPr>
          <w:rFonts w:ascii="Cambria" w:hAnsi="Cambria"/>
          <w:sz w:val="26"/>
          <w:szCs w:val="26"/>
          <w:lang w:val="fr-FR"/>
        </w:rPr>
        <w:t>Coordination</w:t>
      </w:r>
      <w:r>
        <w:rPr>
          <w:rFonts w:ascii="Cambria" w:hAnsi="Cambria"/>
          <w:sz w:val="26"/>
          <w:szCs w:val="26"/>
          <w:lang w:val="fr-FR"/>
        </w:rPr>
        <w:t>s</w:t>
      </w:r>
      <w:r w:rsidRPr="009E2A1B">
        <w:rPr>
          <w:rFonts w:ascii="Cambria" w:hAnsi="Cambria"/>
          <w:sz w:val="26"/>
          <w:szCs w:val="26"/>
          <w:lang w:val="fr-FR"/>
        </w:rPr>
        <w:t xml:space="preserve"> d’ouvrage</w:t>
      </w:r>
    </w:p>
    <w:p w14:paraId="4F0164E0" w14:textId="77777777" w:rsidR="0051538E" w:rsidRPr="00082BD3" w:rsidRDefault="0051538E" w:rsidP="0051538E">
      <w:pPr>
        <w:pStyle w:val="NormalWeb"/>
        <w:numPr>
          <w:ilvl w:val="0"/>
          <w:numId w:val="6"/>
        </w:numPr>
        <w:spacing w:before="119" w:beforeAutospacing="0" w:after="0"/>
        <w:jc w:val="both"/>
        <w:rPr>
          <w:rFonts w:ascii="Garamond" w:hAnsi="Garamond"/>
          <w:lang w:val="en-GB"/>
        </w:rPr>
      </w:pPr>
      <w:proofErr w:type="spellStart"/>
      <w:r w:rsidRPr="00910B24">
        <w:rPr>
          <w:rFonts w:ascii="Garamond" w:hAnsi="Garamond"/>
          <w:lang w:val="en-GB"/>
        </w:rPr>
        <w:t>En</w:t>
      </w:r>
      <w:proofErr w:type="spellEnd"/>
      <w:r w:rsidRPr="00910B24">
        <w:rPr>
          <w:rFonts w:ascii="Garamond" w:hAnsi="Garamond"/>
          <w:lang w:val="en-GB"/>
        </w:rPr>
        <w:t xml:space="preserve"> collaboration avec A. </w:t>
      </w:r>
      <w:proofErr w:type="spellStart"/>
      <w:r w:rsidRPr="00910B24">
        <w:rPr>
          <w:rFonts w:ascii="Garamond" w:hAnsi="Garamond"/>
          <w:lang w:val="en-GB"/>
        </w:rPr>
        <w:t>Efal</w:t>
      </w:r>
      <w:proofErr w:type="spellEnd"/>
      <w:r w:rsidRPr="00910B24">
        <w:rPr>
          <w:rFonts w:ascii="Garamond" w:hAnsi="Garamond"/>
          <w:lang w:val="en-GB"/>
        </w:rPr>
        <w:t xml:space="preserve">, K. </w:t>
      </w:r>
      <w:proofErr w:type="spellStart"/>
      <w:r w:rsidRPr="00910B24">
        <w:rPr>
          <w:rFonts w:ascii="Garamond" w:hAnsi="Garamond"/>
          <w:lang w:val="en-GB"/>
        </w:rPr>
        <w:t>Chepurin</w:t>
      </w:r>
      <w:proofErr w:type="spellEnd"/>
      <w:r w:rsidRPr="00910B24">
        <w:rPr>
          <w:rFonts w:ascii="Garamond" w:hAnsi="Garamond"/>
          <w:lang w:val="en-GB"/>
        </w:rPr>
        <w:t xml:space="preserve">, D. </w:t>
      </w:r>
      <w:proofErr w:type="gramStart"/>
      <w:r w:rsidRPr="00910B24">
        <w:rPr>
          <w:rFonts w:ascii="Garamond" w:hAnsi="Garamond"/>
          <w:lang w:val="en-GB"/>
        </w:rPr>
        <w:t>Whistler :</w:t>
      </w:r>
      <w:proofErr w:type="gramEnd"/>
      <w:r w:rsidRPr="00910B24">
        <w:rPr>
          <w:rFonts w:ascii="Garamond" w:hAnsi="Garamond"/>
          <w:lang w:val="en-GB"/>
        </w:rPr>
        <w:t xml:space="preserve"> </w:t>
      </w:r>
      <w:r w:rsidRPr="00910B24">
        <w:rPr>
          <w:rFonts w:ascii="Garamond" w:hAnsi="Garamond"/>
          <w:i/>
          <w:lang w:val="en-GB"/>
        </w:rPr>
        <w:t>Hegel and Schelling in Early-Nineteenth Century France</w:t>
      </w:r>
      <w:r w:rsidRPr="00910B24">
        <w:rPr>
          <w:rFonts w:ascii="Garamond" w:hAnsi="Garamond"/>
          <w:lang w:val="en-GB"/>
        </w:rPr>
        <w:t>, 2 volumes</w:t>
      </w:r>
      <w:r>
        <w:rPr>
          <w:rFonts w:ascii="Garamond" w:hAnsi="Garamond"/>
          <w:lang w:val="en-GB"/>
        </w:rPr>
        <w:t xml:space="preserve">, Springer, </w:t>
      </w:r>
      <w:proofErr w:type="spellStart"/>
      <w:r>
        <w:rPr>
          <w:rFonts w:ascii="Garamond" w:hAnsi="Garamond"/>
          <w:lang w:val="en-GB"/>
        </w:rPr>
        <w:t>Londres</w:t>
      </w:r>
      <w:proofErr w:type="spellEnd"/>
      <w:r>
        <w:rPr>
          <w:rFonts w:ascii="Garamond" w:hAnsi="Garamond"/>
          <w:lang w:val="en-GB"/>
        </w:rPr>
        <w:t>, 2023</w:t>
      </w:r>
      <w:r w:rsidRPr="00910B24">
        <w:rPr>
          <w:rFonts w:ascii="Garamond" w:hAnsi="Garamond"/>
          <w:lang w:val="en-GB"/>
        </w:rPr>
        <w:t>.</w:t>
      </w:r>
    </w:p>
    <w:p w14:paraId="0387CD3B" w14:textId="77777777" w:rsidR="0051538E" w:rsidRPr="007D4528" w:rsidRDefault="0051538E" w:rsidP="0051538E">
      <w:pPr>
        <w:pStyle w:val="NormalWeb"/>
        <w:numPr>
          <w:ilvl w:val="0"/>
          <w:numId w:val="6"/>
        </w:numPr>
        <w:spacing w:before="119" w:beforeAutospacing="0"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En collaboration avec Ch. Morel et E. </w:t>
      </w:r>
      <w:proofErr w:type="spellStart"/>
      <w:r>
        <w:rPr>
          <w:rFonts w:ascii="Garamond" w:hAnsi="Garamond"/>
        </w:rPr>
        <w:t>Hourcade</w:t>
      </w:r>
      <w:proofErr w:type="spellEnd"/>
      <w:r>
        <w:rPr>
          <w:rFonts w:ascii="Garamond" w:hAnsi="Garamond"/>
        </w:rPr>
        <w:t xml:space="preserve"> : </w:t>
      </w:r>
      <w:r>
        <w:rPr>
          <w:rFonts w:ascii="Garamond" w:hAnsi="Garamond"/>
          <w:i/>
        </w:rPr>
        <w:t xml:space="preserve">La perfectibilité de l’homme. Les Lumières allemandes contre </w:t>
      </w:r>
      <w:proofErr w:type="gramStart"/>
      <w:r>
        <w:rPr>
          <w:rFonts w:ascii="Garamond" w:hAnsi="Garamond"/>
          <w:i/>
        </w:rPr>
        <w:t>Rousseau ?</w:t>
      </w:r>
      <w:r>
        <w:rPr>
          <w:rFonts w:ascii="Garamond" w:hAnsi="Garamond"/>
        </w:rPr>
        <w:t>,</w:t>
      </w:r>
      <w:proofErr w:type="gramEnd"/>
      <w:r>
        <w:rPr>
          <w:rFonts w:ascii="Garamond" w:hAnsi="Garamond"/>
        </w:rPr>
        <w:t xml:space="preserve"> Paris, Garnier, 2022</w:t>
      </w:r>
    </w:p>
    <w:p w14:paraId="0BD8FA79" w14:textId="77777777" w:rsidR="0051538E" w:rsidRPr="007D4528" w:rsidRDefault="0051538E" w:rsidP="0051538E">
      <w:pPr>
        <w:pStyle w:val="NormalWeb"/>
        <w:numPr>
          <w:ilvl w:val="0"/>
          <w:numId w:val="6"/>
        </w:numPr>
        <w:spacing w:before="119" w:beforeAutospacing="0" w:after="0"/>
        <w:jc w:val="both"/>
        <w:rPr>
          <w:rFonts w:ascii="Garamond" w:hAnsi="Garamond"/>
        </w:rPr>
      </w:pPr>
      <w:r w:rsidRPr="00196957">
        <w:rPr>
          <w:rFonts w:ascii="Garamond" w:hAnsi="Garamond"/>
        </w:rPr>
        <w:t xml:space="preserve">En collaboration avec B. Bianchi, E. </w:t>
      </w:r>
      <w:proofErr w:type="spellStart"/>
      <w:r w:rsidRPr="00196957">
        <w:rPr>
          <w:rFonts w:ascii="Garamond" w:hAnsi="Garamond"/>
        </w:rPr>
        <w:t>Filion</w:t>
      </w:r>
      <w:proofErr w:type="spellEnd"/>
      <w:r w:rsidRPr="00196957">
        <w:rPr>
          <w:rFonts w:ascii="Garamond" w:hAnsi="Garamond"/>
        </w:rPr>
        <w:t xml:space="preserve">-Donato, M. </w:t>
      </w:r>
      <w:proofErr w:type="gramStart"/>
      <w:r w:rsidRPr="00196957">
        <w:rPr>
          <w:rFonts w:ascii="Garamond" w:hAnsi="Garamond"/>
        </w:rPr>
        <w:t>Miguel:</w:t>
      </w:r>
      <w:proofErr w:type="gramEnd"/>
      <w:r w:rsidRPr="00196957">
        <w:rPr>
          <w:rFonts w:ascii="Garamond" w:hAnsi="Garamond"/>
        </w:rPr>
        <w:t xml:space="preserve"> </w:t>
      </w:r>
      <w:proofErr w:type="spellStart"/>
      <w:r w:rsidRPr="00196957">
        <w:rPr>
          <w:rFonts w:ascii="Garamond" w:hAnsi="Garamond"/>
          <w:i/>
        </w:rPr>
        <w:t>Materialism</w:t>
      </w:r>
      <w:proofErr w:type="spellEnd"/>
      <w:r w:rsidRPr="00196957">
        <w:rPr>
          <w:rFonts w:ascii="Garamond" w:hAnsi="Garamond"/>
          <w:i/>
        </w:rPr>
        <w:t xml:space="preserve"> and </w:t>
      </w:r>
      <w:proofErr w:type="spellStart"/>
      <w:r w:rsidRPr="00196957">
        <w:rPr>
          <w:rFonts w:ascii="Garamond" w:hAnsi="Garamond"/>
          <w:i/>
        </w:rPr>
        <w:t>politics</w:t>
      </w:r>
      <w:proofErr w:type="spellEnd"/>
      <w:r w:rsidRPr="00196957">
        <w:rPr>
          <w:rFonts w:ascii="Garamond" w:hAnsi="Garamond"/>
        </w:rPr>
        <w:t xml:space="preserve">, </w:t>
      </w:r>
      <w:r>
        <w:rPr>
          <w:rFonts w:ascii="Garamond" w:hAnsi="Garamond"/>
        </w:rPr>
        <w:t>Berlin, ICI, 2021</w:t>
      </w:r>
    </w:p>
    <w:p w14:paraId="1E0DA39D" w14:textId="77777777" w:rsidR="0051538E" w:rsidRPr="005913A1" w:rsidRDefault="0051538E" w:rsidP="0051538E">
      <w:pPr>
        <w:pStyle w:val="NormalWeb"/>
        <w:numPr>
          <w:ilvl w:val="0"/>
          <w:numId w:val="6"/>
        </w:numPr>
        <w:spacing w:before="119" w:beforeAutospacing="0" w:after="0"/>
        <w:jc w:val="both"/>
        <w:rPr>
          <w:rFonts w:ascii="Garamond" w:hAnsi="Garamond"/>
        </w:rPr>
      </w:pPr>
      <w:r w:rsidRPr="005913A1">
        <w:rPr>
          <w:rFonts w:ascii="Garamond" w:hAnsi="Garamond"/>
        </w:rPr>
        <w:t xml:space="preserve">En collaboration avec Anne Baillot : </w:t>
      </w:r>
      <w:r w:rsidRPr="005913A1">
        <w:rPr>
          <w:rFonts w:ascii="Garamond" w:hAnsi="Garamond"/>
          <w:i/>
          <w:iCs/>
        </w:rPr>
        <w:t>France-Allemagne : les figures de l’intellectuel, entre Révolution et réaction (1780-1848)</w:t>
      </w:r>
      <w:r w:rsidRPr="005913A1">
        <w:rPr>
          <w:rFonts w:ascii="Garamond" w:hAnsi="Garamond"/>
        </w:rPr>
        <w:t>, Villeneuve d’Ascq, Presses Universitaires du Septentrion, 2014.</w:t>
      </w:r>
      <w:bookmarkStart w:id="2" w:name="_Toc402517532"/>
      <w:bookmarkEnd w:id="2"/>
    </w:p>
    <w:p w14:paraId="0C4A8598" w14:textId="77777777" w:rsidR="0051538E" w:rsidRPr="00082BD3" w:rsidRDefault="0051538E" w:rsidP="0051538E">
      <w:pPr>
        <w:pStyle w:val="NormalWeb"/>
        <w:spacing w:before="119" w:beforeAutospacing="0" w:after="0"/>
        <w:ind w:left="360"/>
        <w:jc w:val="both"/>
      </w:pPr>
    </w:p>
    <w:p w14:paraId="21F3DD9B" w14:textId="77777777" w:rsidR="0051538E" w:rsidRPr="00AC6BD1" w:rsidRDefault="0051538E" w:rsidP="0051538E">
      <w:pPr>
        <w:pStyle w:val="Titre3"/>
        <w:rPr>
          <w:rFonts w:ascii="Cambria" w:hAnsi="Cambria"/>
          <w:sz w:val="26"/>
          <w:szCs w:val="26"/>
          <w:lang w:val="fr-FR"/>
        </w:rPr>
      </w:pPr>
      <w:bookmarkStart w:id="3" w:name="_Toc478639958"/>
      <w:r w:rsidRPr="00AC6BD1">
        <w:rPr>
          <w:rFonts w:ascii="Cambria" w:hAnsi="Cambria"/>
          <w:sz w:val="26"/>
          <w:szCs w:val="26"/>
          <w:lang w:val="fr-FR"/>
        </w:rPr>
        <w:t xml:space="preserve">Articles publiés dans des revues à comité de lecture ou contributions soumises à des </w:t>
      </w:r>
      <w:proofErr w:type="spellStart"/>
      <w:r w:rsidRPr="00AC6BD1">
        <w:rPr>
          <w:rFonts w:ascii="Cambria" w:hAnsi="Cambria"/>
          <w:i/>
          <w:sz w:val="26"/>
          <w:szCs w:val="26"/>
          <w:lang w:val="fr-FR"/>
        </w:rPr>
        <w:t>peer</w:t>
      </w:r>
      <w:proofErr w:type="spellEnd"/>
      <w:r w:rsidRPr="00AC6BD1">
        <w:rPr>
          <w:rFonts w:ascii="Cambria" w:hAnsi="Cambria"/>
          <w:i/>
          <w:sz w:val="26"/>
          <w:szCs w:val="26"/>
          <w:lang w:val="fr-FR"/>
        </w:rPr>
        <w:t xml:space="preserve"> </w:t>
      </w:r>
      <w:proofErr w:type="spellStart"/>
      <w:r w:rsidRPr="00AC6BD1">
        <w:rPr>
          <w:rFonts w:ascii="Cambria" w:hAnsi="Cambria"/>
          <w:i/>
          <w:sz w:val="26"/>
          <w:szCs w:val="26"/>
          <w:lang w:val="fr-FR"/>
        </w:rPr>
        <w:t>review</w:t>
      </w:r>
      <w:bookmarkEnd w:id="3"/>
      <w:proofErr w:type="spellEnd"/>
    </w:p>
    <w:p w14:paraId="23893E6E" w14:textId="77777777" w:rsidR="0051538E" w:rsidRPr="00AC6BD1" w:rsidRDefault="0051538E" w:rsidP="0051538E">
      <w:pPr>
        <w:widowControl w:val="0"/>
        <w:suppressLineNumbers/>
        <w:tabs>
          <w:tab w:val="center" w:pos="4819"/>
          <w:tab w:val="right" w:pos="9638"/>
        </w:tabs>
        <w:suppressAutoHyphens/>
        <w:ind w:right="675"/>
        <w:jc w:val="both"/>
        <w:rPr>
          <w:rFonts w:ascii="Garamond" w:hAnsi="Garamond"/>
          <w:b/>
          <w:noProof/>
          <w:color w:val="0070C0"/>
          <w:lang w:val="fr-FR"/>
        </w:rPr>
      </w:pPr>
    </w:p>
    <w:p w14:paraId="4708268A" w14:textId="77777777" w:rsidR="0051538E" w:rsidRPr="0094067A" w:rsidRDefault="0051538E" w:rsidP="0051538E">
      <w:pPr>
        <w:widowControl w:val="0"/>
        <w:numPr>
          <w:ilvl w:val="0"/>
          <w:numId w:val="3"/>
        </w:numPr>
        <w:suppressAutoHyphens/>
        <w:spacing w:before="120" w:after="240"/>
        <w:contextualSpacing/>
        <w:jc w:val="both"/>
        <w:rPr>
          <w:rFonts w:ascii="Garamond" w:eastAsia="SimSun" w:hAnsi="Garamond" w:cs="Mangal"/>
          <w:kern w:val="1"/>
          <w:lang w:val="fr-FR" w:eastAsia="hi-IN" w:bidi="hi-IN"/>
        </w:rPr>
      </w:pPr>
      <w:r w:rsidRPr="0094067A">
        <w:rPr>
          <w:rFonts w:ascii="Garamond" w:hAnsi="Garamond"/>
          <w:lang w:val="fr-FR" w:eastAsia="fr-FR"/>
        </w:rPr>
        <w:t xml:space="preserve">« Publicité de l’instruction, pouvoir de l’opinion publique : les réflexions de </w:t>
      </w:r>
      <w:proofErr w:type="spellStart"/>
      <w:r w:rsidRPr="0094067A">
        <w:rPr>
          <w:rFonts w:ascii="Garamond" w:hAnsi="Garamond"/>
          <w:lang w:val="fr-FR" w:eastAsia="fr-FR"/>
        </w:rPr>
        <w:t>Destutt</w:t>
      </w:r>
      <w:proofErr w:type="spellEnd"/>
      <w:r w:rsidRPr="0094067A">
        <w:rPr>
          <w:rFonts w:ascii="Garamond" w:hAnsi="Garamond"/>
          <w:lang w:val="fr-FR" w:eastAsia="fr-FR"/>
        </w:rPr>
        <w:t xml:space="preserve"> de Tracy au tournant du XVIIIe et du XIXe siècle », </w:t>
      </w:r>
      <w:r w:rsidRPr="0094067A">
        <w:rPr>
          <w:rFonts w:ascii="Garamond" w:hAnsi="Garamond"/>
          <w:i/>
          <w:lang w:val="fr-FR" w:eastAsia="fr-FR"/>
        </w:rPr>
        <w:t xml:space="preserve">Le </w:t>
      </w:r>
      <w:r w:rsidRPr="0094067A">
        <w:rPr>
          <w:rFonts w:ascii="Garamond" w:hAnsi="Garamond"/>
          <w:i/>
          <w:iCs/>
          <w:lang w:val="fr-FR" w:eastAsia="fr-FR"/>
        </w:rPr>
        <w:t>Télémaque</w:t>
      </w:r>
      <w:r w:rsidRPr="0094067A">
        <w:rPr>
          <w:rFonts w:ascii="Garamond" w:hAnsi="Garamond"/>
          <w:lang w:val="fr-FR" w:eastAsia="fr-FR"/>
        </w:rPr>
        <w:t xml:space="preserve">, n°58, 2020/2, p.139-154. </w:t>
      </w:r>
    </w:p>
    <w:p w14:paraId="1EBB4A36" w14:textId="77777777" w:rsidR="0051538E" w:rsidRPr="00582F7A" w:rsidRDefault="0051538E" w:rsidP="0051538E">
      <w:pPr>
        <w:pStyle w:val="Paragraphedeliste"/>
        <w:widowControl w:val="0"/>
        <w:numPr>
          <w:ilvl w:val="0"/>
          <w:numId w:val="3"/>
        </w:numPr>
        <w:suppressAutoHyphens/>
        <w:spacing w:before="120" w:after="120"/>
        <w:ind w:left="357" w:hanging="357"/>
        <w:jc w:val="both"/>
        <w:rPr>
          <w:rFonts w:ascii="Garamond" w:eastAsia="SimSun" w:hAnsi="Garamond" w:cs="Times New Roman"/>
          <w:kern w:val="2"/>
          <w:lang w:eastAsia="hi-IN" w:bidi="hi-IN"/>
        </w:rPr>
      </w:pPr>
      <w:r w:rsidRPr="00180CD5">
        <w:rPr>
          <w:rFonts w:ascii="Garamond" w:eastAsia="SimSun" w:hAnsi="Garamond" w:cs="Times New Roman"/>
          <w:kern w:val="2"/>
          <w:lang w:eastAsia="hi-IN" w:bidi="hi-IN"/>
        </w:rPr>
        <w:t xml:space="preserve">« Was heiβt und zu welchem Ende studiert man </w:t>
      </w:r>
      <w:proofErr w:type="gramStart"/>
      <w:r w:rsidRPr="00180CD5">
        <w:rPr>
          <w:rFonts w:ascii="Garamond" w:eastAsia="SimSun" w:hAnsi="Garamond" w:cs="Times New Roman"/>
          <w:kern w:val="2"/>
          <w:lang w:eastAsia="hi-IN" w:bidi="hi-IN"/>
        </w:rPr>
        <w:t>Philosophiegeschichte ?</w:t>
      </w:r>
      <w:proofErr w:type="gramEnd"/>
      <w:r w:rsidRPr="00180CD5">
        <w:rPr>
          <w:rFonts w:ascii="Garamond" w:eastAsia="SimSun" w:hAnsi="Garamond" w:cs="Times New Roman"/>
          <w:kern w:val="2"/>
          <w:lang w:eastAsia="hi-IN" w:bidi="hi-IN"/>
        </w:rPr>
        <w:t xml:space="preserve"> </w:t>
      </w:r>
      <w:r w:rsidRPr="00582F7A">
        <w:rPr>
          <w:rFonts w:ascii="Garamond" w:eastAsia="SimSun" w:hAnsi="Garamond" w:cs="Times New Roman"/>
          <w:kern w:val="2"/>
          <w:lang w:eastAsia="hi-IN" w:bidi="hi-IN"/>
        </w:rPr>
        <w:t xml:space="preserve">Die Lehre Pierre Paul </w:t>
      </w:r>
      <w:proofErr w:type="spellStart"/>
      <w:r w:rsidRPr="00582F7A">
        <w:rPr>
          <w:rFonts w:ascii="Garamond" w:eastAsia="SimSun" w:hAnsi="Garamond" w:cs="Times New Roman"/>
          <w:kern w:val="2"/>
          <w:lang w:eastAsia="hi-IN" w:bidi="hi-IN"/>
        </w:rPr>
        <w:t>Royer</w:t>
      </w:r>
      <w:proofErr w:type="spellEnd"/>
      <w:r w:rsidRPr="00582F7A">
        <w:rPr>
          <w:rFonts w:ascii="Garamond" w:eastAsia="SimSun" w:hAnsi="Garamond" w:cs="Times New Roman"/>
          <w:kern w:val="2"/>
          <w:lang w:eastAsia="hi-IN" w:bidi="hi-IN"/>
        </w:rPr>
        <w:t xml:space="preserve">-Collards </w:t>
      </w:r>
      <w:r>
        <w:rPr>
          <w:rFonts w:ascii="Garamond" w:eastAsia="SimSun" w:hAnsi="Garamond" w:cs="Times New Roman"/>
          <w:kern w:val="2"/>
          <w:lang w:eastAsia="hi-IN" w:bidi="hi-IN"/>
        </w:rPr>
        <w:t>und Victor Cousins »</w:t>
      </w:r>
      <w:r w:rsidRPr="00582F7A">
        <w:rPr>
          <w:rFonts w:ascii="Garamond" w:eastAsia="SimSun" w:hAnsi="Garamond" w:cs="Times New Roman"/>
          <w:kern w:val="2"/>
          <w:lang w:eastAsia="hi-IN" w:bidi="hi-IN"/>
        </w:rPr>
        <w:t xml:space="preserve">, in M. </w:t>
      </w:r>
      <w:proofErr w:type="spellStart"/>
      <w:r w:rsidRPr="00582F7A">
        <w:rPr>
          <w:rFonts w:ascii="Garamond" w:eastAsia="SimSun" w:hAnsi="Garamond" w:cs="Times New Roman"/>
          <w:kern w:val="2"/>
          <w:lang w:eastAsia="hi-IN" w:bidi="hi-IN"/>
        </w:rPr>
        <w:t>Meliado</w:t>
      </w:r>
      <w:proofErr w:type="spellEnd"/>
      <w:r w:rsidRPr="00582F7A">
        <w:rPr>
          <w:rFonts w:ascii="Garamond" w:eastAsia="SimSun" w:hAnsi="Garamond" w:cs="Times New Roman"/>
          <w:kern w:val="2"/>
          <w:lang w:eastAsia="hi-IN" w:bidi="hi-IN"/>
        </w:rPr>
        <w:t>, S. Negri (dir.</w:t>
      </w:r>
      <w:proofErr w:type="gramStart"/>
      <w:r w:rsidRPr="00582F7A">
        <w:rPr>
          <w:rFonts w:ascii="Garamond" w:eastAsia="SimSun" w:hAnsi="Garamond" w:cs="Times New Roman"/>
          <w:kern w:val="2"/>
          <w:lang w:eastAsia="hi-IN" w:bidi="hi-IN"/>
        </w:rPr>
        <w:t>) :</w:t>
      </w:r>
      <w:proofErr w:type="gramEnd"/>
      <w:r w:rsidRPr="00582F7A">
        <w:rPr>
          <w:rFonts w:ascii="Garamond" w:eastAsia="SimSun" w:hAnsi="Garamond" w:cs="Times New Roman"/>
          <w:kern w:val="2"/>
          <w:lang w:eastAsia="hi-IN" w:bidi="hi-IN"/>
        </w:rPr>
        <w:t xml:space="preserve"> </w:t>
      </w:r>
      <w:r w:rsidRPr="00582F7A">
        <w:rPr>
          <w:rFonts w:ascii="Garamond" w:hAnsi="Garamond" w:cs="Times New Roman"/>
          <w:i/>
          <w:color w:val="000000"/>
          <w:shd w:val="clear" w:color="auto" w:fill="FFFFFF"/>
        </w:rPr>
        <w:t>Praxis des Philosophen, Praktiken des Philosophiehistorikers</w:t>
      </w:r>
      <w:r w:rsidRPr="00582F7A">
        <w:rPr>
          <w:rFonts w:ascii="Garamond" w:hAnsi="Garamond" w:cs="Times New Roman"/>
          <w:color w:val="000000"/>
          <w:shd w:val="clear" w:color="auto" w:fill="FFFFFF"/>
        </w:rPr>
        <w:t>, Freiburg, Karl Alber,</w:t>
      </w:r>
      <w:r>
        <w:rPr>
          <w:rFonts w:ascii="Garamond" w:hAnsi="Garamond" w:cs="Times New Roman"/>
          <w:color w:val="000000"/>
          <w:shd w:val="clear" w:color="auto" w:fill="FFFFFF"/>
        </w:rPr>
        <w:t xml:space="preserve"> 2018,</w:t>
      </w:r>
      <w:r w:rsidRPr="00582F7A">
        <w:rPr>
          <w:rFonts w:ascii="Garamond" w:hAnsi="Garamond" w:cs="Times New Roman"/>
          <w:color w:val="000000"/>
          <w:shd w:val="clear" w:color="auto" w:fill="FFFFFF"/>
        </w:rPr>
        <w:t xml:space="preserve"> p</w:t>
      </w:r>
      <w:r>
        <w:rPr>
          <w:rFonts w:ascii="Garamond" w:hAnsi="Garamond" w:cs="Times New Roman"/>
          <w:color w:val="000000"/>
          <w:shd w:val="clear" w:color="auto" w:fill="FFFFFF"/>
        </w:rPr>
        <w:t>.221-247</w:t>
      </w:r>
      <w:r w:rsidRPr="00582F7A">
        <w:rPr>
          <w:rFonts w:ascii="Garamond" w:hAnsi="Garamond" w:cs="Times New Roman"/>
          <w:color w:val="000000"/>
          <w:shd w:val="clear" w:color="auto" w:fill="FFFFFF"/>
        </w:rPr>
        <w:t>.</w:t>
      </w:r>
    </w:p>
    <w:p w14:paraId="121AB770" w14:textId="77777777" w:rsidR="0051538E" w:rsidRPr="00582F7A" w:rsidRDefault="0051538E" w:rsidP="0051538E">
      <w:pPr>
        <w:pStyle w:val="Paragraphedeliste"/>
        <w:widowControl w:val="0"/>
        <w:suppressAutoHyphens/>
        <w:spacing w:before="120" w:after="120"/>
        <w:ind w:left="357"/>
        <w:jc w:val="both"/>
        <w:rPr>
          <w:rFonts w:ascii="Garamond" w:eastAsia="SimSun" w:hAnsi="Garamond" w:cs="Times New Roman"/>
          <w:kern w:val="2"/>
          <w:lang w:eastAsia="hi-IN" w:bidi="hi-IN"/>
        </w:rPr>
      </w:pPr>
    </w:p>
    <w:p w14:paraId="25FBF18C" w14:textId="77777777" w:rsidR="0051538E" w:rsidRPr="002D1488" w:rsidRDefault="0051538E" w:rsidP="0051538E">
      <w:pPr>
        <w:pStyle w:val="Paragraphedeliste"/>
        <w:widowControl w:val="0"/>
        <w:numPr>
          <w:ilvl w:val="0"/>
          <w:numId w:val="3"/>
        </w:numPr>
        <w:suppressAutoHyphens/>
        <w:overflowPunct w:val="0"/>
        <w:autoSpaceDE w:val="0"/>
        <w:jc w:val="both"/>
        <w:rPr>
          <w:rFonts w:ascii="Garamond" w:eastAsia="Times New Roman" w:hAnsi="Garamond" w:cs="Times New Roman"/>
          <w:kern w:val="2"/>
          <w:lang w:val="fr-FR" w:eastAsia="hi-IN" w:bidi="hi-IN"/>
        </w:rPr>
      </w:pP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« </w:t>
      </w:r>
      <w:r w:rsidRPr="00180CD5">
        <w:rPr>
          <w:rFonts w:ascii="Garamond" w:eastAsia="Times New Roman" w:hAnsi="Garamond" w:cs="Times New Roman"/>
          <w:kern w:val="2"/>
          <w:lang w:val="fr-FR" w:eastAsia="hi-IN" w:bidi="hi-IN"/>
        </w:rPr>
        <w:t xml:space="preserve">La fécondité d'une philosophie et ses effets sur le présent : la réception de Descartes et Leibniz chez Bonald, Staël, </w:t>
      </w:r>
      <w:proofErr w:type="spellStart"/>
      <w:r w:rsidRPr="00180CD5">
        <w:rPr>
          <w:rFonts w:ascii="Garamond" w:eastAsia="Times New Roman" w:hAnsi="Garamond" w:cs="Times New Roman"/>
          <w:kern w:val="2"/>
          <w:lang w:val="fr-FR" w:eastAsia="hi-IN" w:bidi="hi-IN"/>
        </w:rPr>
        <w:t>Degérando</w:t>
      </w:r>
      <w:proofErr w:type="spellEnd"/>
      <w:r w:rsidRPr="00180CD5">
        <w:rPr>
          <w:rFonts w:ascii="Garamond" w:eastAsia="Times New Roman" w:hAnsi="Garamond" w:cs="Times New Roman"/>
          <w:kern w:val="2"/>
          <w:lang w:val="fr-FR" w:eastAsia="hi-IN" w:bidi="hi-IN"/>
        </w:rPr>
        <w:t xml:space="preserve"> et Chateaubriand » in </w:t>
      </w:r>
      <w:r w:rsidRPr="00180CD5">
        <w:rPr>
          <w:rFonts w:ascii="Garamond" w:eastAsia="Times New Roman" w:hAnsi="Garamond" w:cs="Times New Roman"/>
          <w:i/>
          <w:iCs/>
          <w:kern w:val="2"/>
          <w:lang w:val="fr-FR" w:eastAsia="hi-IN" w:bidi="hi-IN"/>
        </w:rPr>
        <w:t>« La mer retentissante ». Descartes et Leibniz au XIXème siècle</w:t>
      </w:r>
      <w:r w:rsidRPr="00180CD5">
        <w:rPr>
          <w:rFonts w:ascii="Garamond" w:eastAsia="Times New Roman" w:hAnsi="Garamond" w:cs="Times New Roman"/>
          <w:kern w:val="2"/>
          <w:lang w:val="fr-FR" w:eastAsia="hi-IN" w:bidi="hi-IN"/>
        </w:rPr>
        <w:t xml:space="preserve">, numéro de la revue </w:t>
      </w:r>
      <w:r w:rsidRPr="00180CD5">
        <w:rPr>
          <w:rFonts w:ascii="Garamond" w:eastAsia="Times New Roman" w:hAnsi="Garamond" w:cs="Times New Roman"/>
          <w:i/>
          <w:iCs/>
          <w:kern w:val="2"/>
          <w:lang w:val="fr-FR" w:eastAsia="hi-IN" w:bidi="hi-IN"/>
        </w:rPr>
        <w:t>Corpus</w:t>
      </w:r>
      <w:r w:rsidRPr="00180CD5">
        <w:rPr>
          <w:rFonts w:ascii="Garamond" w:eastAsia="Times New Roman" w:hAnsi="Garamond" w:cs="Times New Roman"/>
          <w:kern w:val="2"/>
          <w:lang w:val="fr-FR" w:eastAsia="hi-IN" w:bidi="hi-IN"/>
        </w:rPr>
        <w:t xml:space="preserve">, </w:t>
      </w:r>
      <w:r w:rsidRPr="00180CD5">
        <w:rPr>
          <w:rFonts w:ascii="Garamond" w:hAnsi="Garamond" w:cs="Times New Roman"/>
          <w:lang w:val="fr-FR"/>
        </w:rPr>
        <w:t>n°68, Paris, Fayard, 2015, p.57-76.</w:t>
      </w:r>
    </w:p>
    <w:p w14:paraId="4D6E41A1" w14:textId="77777777" w:rsidR="0051538E" w:rsidRPr="00180CD5" w:rsidRDefault="0051538E" w:rsidP="0051538E">
      <w:pPr>
        <w:pStyle w:val="Paragraphedeliste"/>
        <w:widowControl w:val="0"/>
        <w:suppressAutoHyphens/>
        <w:spacing w:before="120" w:after="120"/>
        <w:ind w:left="357"/>
        <w:jc w:val="both"/>
        <w:rPr>
          <w:rFonts w:ascii="Garamond" w:eastAsia="SimSun" w:hAnsi="Garamond" w:cs="Times New Roman"/>
          <w:kern w:val="2"/>
          <w:lang w:val="fr-FR" w:eastAsia="hi-IN" w:bidi="hi-IN"/>
        </w:rPr>
      </w:pPr>
    </w:p>
    <w:p w14:paraId="19D8990E" w14:textId="77777777" w:rsidR="0051538E" w:rsidRPr="00180CD5" w:rsidRDefault="0051538E" w:rsidP="0051538E">
      <w:pPr>
        <w:pStyle w:val="Paragraphedeliste"/>
        <w:widowControl w:val="0"/>
        <w:numPr>
          <w:ilvl w:val="0"/>
          <w:numId w:val="3"/>
        </w:numPr>
        <w:suppressAutoHyphens/>
        <w:overflowPunct w:val="0"/>
        <w:autoSpaceDE w:val="0"/>
        <w:jc w:val="both"/>
        <w:rPr>
          <w:rStyle w:val="Lienhypertexte"/>
          <w:rFonts w:ascii="Garamond" w:eastAsia="SimSun" w:hAnsi="Garamond" w:cs="Times New Roman"/>
          <w:kern w:val="2"/>
          <w:lang w:eastAsia="hi-IN" w:bidi="hi-IN"/>
        </w:rPr>
      </w:pP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« Les républicains de Thermidor, ou produire du nouveau sans "homme nouveau</w:t>
      </w:r>
      <w:proofErr w:type="gramStart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"»</w:t>
      </w:r>
      <w:proofErr w:type="gram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, </w:t>
      </w:r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La Révolution française. Cahiers de l'I.H.R.F.</w:t>
      </w: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, 6/2014, numéro intitulé « La Révolution ou l'invention de la femme et de l'homme nouveaux ». </w:t>
      </w:r>
      <w:r w:rsidRPr="00180CD5">
        <w:rPr>
          <w:rFonts w:ascii="Garamond" w:eastAsia="SimSun" w:hAnsi="Garamond" w:cs="Times New Roman"/>
          <w:kern w:val="2"/>
          <w:lang w:eastAsia="hi-IN" w:bidi="hi-IN"/>
        </w:rPr>
        <w:t xml:space="preserve">Adresse </w:t>
      </w:r>
      <w:proofErr w:type="gramStart"/>
      <w:r w:rsidRPr="00180CD5">
        <w:rPr>
          <w:rFonts w:ascii="Garamond" w:eastAsia="SimSun" w:hAnsi="Garamond" w:cs="Times New Roman"/>
          <w:kern w:val="2"/>
          <w:lang w:eastAsia="hi-IN" w:bidi="hi-IN"/>
        </w:rPr>
        <w:t>URL :</w:t>
      </w:r>
      <w:proofErr w:type="gramEnd"/>
      <w:r w:rsidRPr="00180CD5">
        <w:rPr>
          <w:rFonts w:ascii="Garamond" w:eastAsia="SimSun" w:hAnsi="Garamond" w:cs="Times New Roman"/>
          <w:kern w:val="2"/>
          <w:lang w:eastAsia="hi-IN" w:bidi="hi-IN"/>
        </w:rPr>
        <w:t xml:space="preserve"> </w:t>
      </w:r>
      <w:hyperlink r:id="rId5" w:history="1">
        <w:r w:rsidRPr="00180CD5">
          <w:rPr>
            <w:rStyle w:val="Lienhypertexte"/>
            <w:rFonts w:ascii="Garamond" w:eastAsia="SimSun" w:hAnsi="Garamond" w:cs="Times New Roman"/>
            <w:color w:val="000080"/>
            <w:kern w:val="2"/>
            <w:lang w:eastAsia="hi-IN" w:bidi="hi-IN"/>
          </w:rPr>
          <w:t>http://lrf.revues.org/</w:t>
        </w:r>
      </w:hyperlink>
    </w:p>
    <w:p w14:paraId="25746037" w14:textId="77777777" w:rsidR="0051538E" w:rsidRPr="00180CD5" w:rsidRDefault="0051538E" w:rsidP="0051538E">
      <w:pPr>
        <w:pStyle w:val="Paragraphedeliste"/>
        <w:rPr>
          <w:rFonts w:ascii="Garamond" w:eastAsia="SimSun" w:hAnsi="Garamond" w:cs="Times New Roman"/>
          <w:kern w:val="2"/>
          <w:lang w:val="fr-FR" w:eastAsia="hi-IN" w:bidi="hi-IN"/>
        </w:rPr>
      </w:pPr>
    </w:p>
    <w:p w14:paraId="7C9BE54F" w14:textId="77777777" w:rsidR="0051538E" w:rsidRPr="00180CD5" w:rsidRDefault="0051538E" w:rsidP="0051538E">
      <w:pPr>
        <w:pStyle w:val="Paragraphedeliste"/>
        <w:widowControl w:val="0"/>
        <w:numPr>
          <w:ilvl w:val="0"/>
          <w:numId w:val="3"/>
        </w:numPr>
        <w:suppressAutoHyphens/>
        <w:overflowPunct w:val="0"/>
        <w:autoSpaceDE w:val="0"/>
        <w:jc w:val="both"/>
        <w:rPr>
          <w:rFonts w:ascii="Garamond" w:eastAsia="SimSun" w:hAnsi="Garamond" w:cs="Times New Roman"/>
          <w:kern w:val="2"/>
          <w:lang w:val="fr-FR" w:eastAsia="hi-IN" w:bidi="hi-IN"/>
        </w:rPr>
      </w:pP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« Rousseau ou le rôle politique de l’écrivain étranger » in </w:t>
      </w:r>
      <w:proofErr w:type="spellStart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Littera</w:t>
      </w:r>
      <w:proofErr w:type="spellEnd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 xml:space="preserve"> </w:t>
      </w:r>
      <w:proofErr w:type="spellStart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edebiyat</w:t>
      </w:r>
      <w:proofErr w:type="spellEnd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 xml:space="preserve"> </w:t>
      </w:r>
      <w:proofErr w:type="spellStart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yazıları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, Ankara, n°30, 2013, p.53-65</w:t>
      </w:r>
    </w:p>
    <w:p w14:paraId="03B904E9" w14:textId="77777777" w:rsidR="0051538E" w:rsidRPr="00180CD5" w:rsidRDefault="0051538E" w:rsidP="0051538E">
      <w:pPr>
        <w:pStyle w:val="Paragraphedeliste"/>
        <w:rPr>
          <w:rFonts w:ascii="Garamond" w:eastAsia="SimSun" w:hAnsi="Garamond" w:cs="Times New Roman"/>
          <w:kern w:val="2"/>
          <w:lang w:val="fr-FR" w:eastAsia="hi-IN" w:bidi="hi-IN"/>
        </w:rPr>
      </w:pPr>
    </w:p>
    <w:p w14:paraId="6BFDFFD6" w14:textId="77777777" w:rsidR="0051538E" w:rsidRPr="00180CD5" w:rsidRDefault="0051538E" w:rsidP="0051538E">
      <w:pPr>
        <w:pStyle w:val="Paragraphedeliste"/>
        <w:widowControl w:val="0"/>
        <w:numPr>
          <w:ilvl w:val="0"/>
          <w:numId w:val="3"/>
        </w:numPr>
        <w:suppressAutoHyphens/>
        <w:overflowPunct w:val="0"/>
        <w:autoSpaceDE w:val="0"/>
        <w:jc w:val="both"/>
        <w:rPr>
          <w:rFonts w:ascii="Garamond" w:eastAsia="SimSun" w:hAnsi="Garamond" w:cs="Times New Roman"/>
          <w:kern w:val="2"/>
          <w:lang w:val="fr-FR" w:eastAsia="hi-IN" w:bidi="hi-IN"/>
        </w:rPr>
      </w:pP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« L’efficace politique des littératures étrangères : G. de Staël et l’Allemagne » in </w:t>
      </w:r>
      <w:r w:rsidRPr="00180CD5">
        <w:rPr>
          <w:rFonts w:ascii="Garamond" w:eastAsia="SimSun" w:hAnsi="Garamond" w:cs="Times New Roman"/>
          <w:i/>
          <w:kern w:val="2"/>
          <w:lang w:val="fr-FR" w:eastAsia="hi-IN" w:bidi="hi-IN"/>
        </w:rPr>
        <w:t xml:space="preserve">Les Cahiers </w:t>
      </w:r>
      <w:proofErr w:type="spellStart"/>
      <w:r w:rsidRPr="00180CD5">
        <w:rPr>
          <w:rFonts w:ascii="Garamond" w:eastAsia="SimSun" w:hAnsi="Garamond" w:cs="Times New Roman"/>
          <w:i/>
          <w:kern w:val="2"/>
          <w:lang w:val="fr-FR" w:eastAsia="hi-IN" w:bidi="hi-IN"/>
        </w:rPr>
        <w:t>Staëliens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, Paris, Honoré Champion, Genève, </w:t>
      </w:r>
      <w:proofErr w:type="spellStart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Slatkine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, 2012, p.151-176.</w:t>
      </w:r>
    </w:p>
    <w:p w14:paraId="0A4CA07E" w14:textId="77777777" w:rsidR="0051538E" w:rsidRPr="00180CD5" w:rsidRDefault="0051538E" w:rsidP="0051538E">
      <w:pPr>
        <w:pStyle w:val="Paragraphedeliste"/>
        <w:rPr>
          <w:rFonts w:ascii="Garamond" w:eastAsia="SimSun" w:hAnsi="Garamond" w:cs="Times New Roman"/>
          <w:kern w:val="2"/>
          <w:lang w:val="fr-FR" w:eastAsia="hi-IN" w:bidi="hi-IN"/>
        </w:rPr>
      </w:pPr>
    </w:p>
    <w:p w14:paraId="38B5BD0B" w14:textId="77777777" w:rsidR="0051538E" w:rsidRPr="008009D2" w:rsidRDefault="0051538E" w:rsidP="0051538E">
      <w:pPr>
        <w:pStyle w:val="Paragraphedeliste"/>
        <w:widowControl w:val="0"/>
        <w:numPr>
          <w:ilvl w:val="0"/>
          <w:numId w:val="3"/>
        </w:numPr>
        <w:suppressAutoHyphens/>
        <w:overflowPunct w:val="0"/>
        <w:autoSpaceDE w:val="0"/>
        <w:jc w:val="both"/>
        <w:rPr>
          <w:rFonts w:ascii="Times New Roman" w:eastAsia="SimSun" w:hAnsi="Times New Roman" w:cs="Times New Roman"/>
          <w:kern w:val="2"/>
          <w:lang w:val="fr-FR" w:eastAsia="hi-IN" w:bidi="hi-IN"/>
        </w:rPr>
      </w:pP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« M</w:t>
      </w:r>
      <w:r w:rsidRPr="00180CD5">
        <w:rPr>
          <w:rFonts w:ascii="Garamond" w:eastAsia="SimSun" w:hAnsi="Garamond" w:cs="Times New Roman"/>
          <w:kern w:val="2"/>
          <w:vertAlign w:val="superscript"/>
          <w:lang w:val="fr-FR" w:eastAsia="hi-IN" w:bidi="hi-IN"/>
        </w:rPr>
        <w:t>me</w:t>
      </w: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 de Staël, Benjamin Constant et les « philosophes du XVIII</w:t>
      </w:r>
      <w:r w:rsidRPr="00180CD5">
        <w:rPr>
          <w:rFonts w:ascii="Garamond" w:eastAsia="SimSun" w:hAnsi="Garamond" w:cs="Times New Roman"/>
          <w:kern w:val="2"/>
          <w:vertAlign w:val="superscript"/>
          <w:lang w:val="fr-FR" w:eastAsia="hi-IN" w:bidi="hi-IN"/>
        </w:rPr>
        <w:t>e</w:t>
      </w: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 siècle » : un héritage contrarié », in </w:t>
      </w:r>
      <w:proofErr w:type="spellStart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Philonsorbonne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, 2010, Paris, Publications de la Sorbonne, p.85-107. Article également consultable à l'adresse URL : </w:t>
      </w:r>
      <w:hyperlink r:id="rId6" w:history="1">
        <w:r w:rsidRPr="00180CD5">
          <w:rPr>
            <w:rStyle w:val="Lienhypertexte"/>
            <w:rFonts w:ascii="Garamond" w:eastAsia="SimSun" w:hAnsi="Garamond" w:cs="Times New Roman"/>
            <w:color w:val="000080"/>
            <w:kern w:val="2"/>
            <w:lang w:val="fr-FR" w:eastAsia="hi-IN" w:bidi="hi-IN"/>
          </w:rPr>
          <w:t>http://edph.univ-paris1.fr/phs4/numero4.pdf</w:t>
        </w:r>
      </w:hyperlink>
      <w:r w:rsidRPr="008009D2">
        <w:rPr>
          <w:rFonts w:ascii="Times New Roman" w:eastAsia="SimSun" w:hAnsi="Times New Roman" w:cs="Times New Roman"/>
          <w:kern w:val="2"/>
          <w:lang w:val="fr-FR" w:eastAsia="hi-IN" w:bidi="hi-IN"/>
        </w:rPr>
        <w:t>.</w:t>
      </w:r>
    </w:p>
    <w:p w14:paraId="2F221C79" w14:textId="77777777" w:rsidR="0051538E" w:rsidRPr="00AC6BD1" w:rsidRDefault="0051538E" w:rsidP="0051538E">
      <w:pPr>
        <w:widowControl w:val="0"/>
        <w:suppressAutoHyphens/>
        <w:spacing w:before="120" w:after="120"/>
        <w:jc w:val="both"/>
        <w:rPr>
          <w:rFonts w:ascii="Garamond" w:eastAsia="SimSun" w:hAnsi="Garamond" w:cs="Mangal"/>
          <w:kern w:val="2"/>
          <w:sz w:val="22"/>
          <w:szCs w:val="22"/>
          <w:lang w:val="fr-FR" w:eastAsia="hi-IN" w:bidi="hi-IN"/>
        </w:rPr>
      </w:pPr>
    </w:p>
    <w:p w14:paraId="4AAB20C1" w14:textId="77777777" w:rsidR="0051538E" w:rsidRPr="0051538E" w:rsidRDefault="0051538E" w:rsidP="0051538E">
      <w:pPr>
        <w:pStyle w:val="Titre3"/>
        <w:rPr>
          <w:rFonts w:ascii="Cambria" w:hAnsi="Cambria" w:cs="Times New Roman"/>
          <w:sz w:val="26"/>
          <w:szCs w:val="26"/>
          <w:lang w:val="fr-FR"/>
        </w:rPr>
      </w:pPr>
      <w:bookmarkStart w:id="4" w:name="_Toc478639959"/>
      <w:r w:rsidRPr="0051538E">
        <w:rPr>
          <w:rFonts w:ascii="Cambria" w:hAnsi="Cambria" w:cs="Times New Roman"/>
          <w:sz w:val="26"/>
          <w:szCs w:val="26"/>
          <w:lang w:val="fr-FR"/>
        </w:rPr>
        <w:lastRenderedPageBreak/>
        <w:t>Chapitres d’ouvrage</w:t>
      </w:r>
      <w:bookmarkEnd w:id="4"/>
    </w:p>
    <w:p w14:paraId="22145AF1" w14:textId="77777777" w:rsidR="0051538E" w:rsidRPr="0051538E" w:rsidRDefault="0051538E" w:rsidP="0051538E">
      <w:pPr>
        <w:rPr>
          <w:lang w:val="fr-FR"/>
        </w:rPr>
      </w:pPr>
    </w:p>
    <w:p w14:paraId="0BF1E2F5" w14:textId="77777777" w:rsidR="0051538E" w:rsidRPr="00F1674F" w:rsidRDefault="0051538E" w:rsidP="0051538E">
      <w:pPr>
        <w:pStyle w:val="NormalWeb"/>
        <w:numPr>
          <w:ilvl w:val="0"/>
          <w:numId w:val="4"/>
        </w:numPr>
        <w:spacing w:before="120" w:beforeAutospacing="0" w:after="0"/>
        <w:ind w:left="357" w:hanging="357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“</w:t>
      </w:r>
      <w:proofErr w:type="spellStart"/>
      <w:r w:rsidRPr="00A27331">
        <w:rPr>
          <w:rFonts w:ascii="Garamond" w:hAnsi="Garamond"/>
          <w:lang w:val="en-GB"/>
        </w:rPr>
        <w:t>Vacherot</w:t>
      </w:r>
      <w:proofErr w:type="spellEnd"/>
      <w:r w:rsidRPr="00A27331">
        <w:rPr>
          <w:rFonts w:ascii="Garamond" w:hAnsi="Garamond"/>
          <w:lang w:val="en-GB"/>
        </w:rPr>
        <w:t xml:space="preserve"> and his circle. Philosophy and Religion in the Pantheism Controversy”</w:t>
      </w:r>
      <w:r>
        <w:rPr>
          <w:rFonts w:ascii="Garamond" w:hAnsi="Garamond"/>
          <w:lang w:val="en-GB"/>
        </w:rPr>
        <w:t xml:space="preserve"> in M. Sinclair, D. Whistler (dir.), </w:t>
      </w:r>
      <w:r>
        <w:rPr>
          <w:rFonts w:ascii="Garamond" w:hAnsi="Garamond"/>
          <w:i/>
          <w:iCs/>
          <w:lang w:val="en-GB"/>
        </w:rPr>
        <w:t>The Oxford Handbook of Modern French Philosophy</w:t>
      </w:r>
      <w:r>
        <w:rPr>
          <w:rFonts w:ascii="Garamond" w:hAnsi="Garamond"/>
          <w:lang w:val="en-GB"/>
        </w:rPr>
        <w:t>, Oxford, Oxford University Press, 2024, p.73-88</w:t>
      </w:r>
    </w:p>
    <w:p w14:paraId="599C78B7" w14:textId="77777777" w:rsidR="0051538E" w:rsidRPr="004F6FD8" w:rsidRDefault="0051538E" w:rsidP="0051538E">
      <w:pPr>
        <w:pStyle w:val="NormalWeb"/>
        <w:numPr>
          <w:ilvl w:val="0"/>
          <w:numId w:val="4"/>
        </w:numPr>
        <w:spacing w:before="120" w:beforeAutospacing="0" w:after="120"/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« </w:t>
      </w:r>
      <w:proofErr w:type="spellStart"/>
      <w:r>
        <w:rPr>
          <w:rFonts w:ascii="Garamond" w:hAnsi="Garamond"/>
        </w:rPr>
        <w:t>Beşir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Fuad</w:t>
      </w:r>
      <w:proofErr w:type="spellEnd"/>
      <w:r>
        <w:rPr>
          <w:rFonts w:ascii="Garamond" w:hAnsi="Garamond"/>
        </w:rPr>
        <w:t xml:space="preserve"> et Voltaire. Une tradition de combat pour la vérité en terre d’islam », in </w:t>
      </w:r>
      <w:proofErr w:type="spellStart"/>
      <w:r>
        <w:rPr>
          <w:rFonts w:ascii="Garamond" w:hAnsi="Garamond"/>
        </w:rPr>
        <w:t>Avlami</w:t>
      </w:r>
      <w:proofErr w:type="spellEnd"/>
      <w:r>
        <w:rPr>
          <w:rFonts w:ascii="Garamond" w:hAnsi="Garamond"/>
        </w:rPr>
        <w:t xml:space="preserve"> C., </w:t>
      </w:r>
      <w:proofErr w:type="spellStart"/>
      <w:r>
        <w:rPr>
          <w:rFonts w:ascii="Garamond" w:hAnsi="Garamond"/>
        </w:rPr>
        <w:t>Salaün</w:t>
      </w:r>
      <w:proofErr w:type="spellEnd"/>
      <w:r>
        <w:rPr>
          <w:rFonts w:ascii="Garamond" w:hAnsi="Garamond"/>
        </w:rPr>
        <w:t xml:space="preserve"> F., </w:t>
      </w:r>
      <w:proofErr w:type="spellStart"/>
      <w:r>
        <w:rPr>
          <w:rFonts w:ascii="Garamond" w:hAnsi="Garamond"/>
        </w:rPr>
        <w:t>Schandeler</w:t>
      </w:r>
      <w:proofErr w:type="spellEnd"/>
      <w:r>
        <w:rPr>
          <w:rFonts w:ascii="Garamond" w:hAnsi="Garamond"/>
        </w:rPr>
        <w:t>, J.P. (</w:t>
      </w:r>
      <w:proofErr w:type="spellStart"/>
      <w:r>
        <w:rPr>
          <w:rFonts w:ascii="Garamond" w:hAnsi="Garamond"/>
        </w:rPr>
        <w:t>dir</w:t>
      </w:r>
      <w:proofErr w:type="spellEnd"/>
      <w:r>
        <w:rPr>
          <w:rFonts w:ascii="Garamond" w:hAnsi="Garamond"/>
        </w:rPr>
        <w:t xml:space="preserve">.) : </w:t>
      </w:r>
      <w:r>
        <w:rPr>
          <w:rFonts w:ascii="Garamond" w:hAnsi="Garamond"/>
          <w:i/>
          <w:iCs/>
        </w:rPr>
        <w:t>De l’Europe Ottoman aux nations balkaniques : les Lumières en question</w:t>
      </w:r>
      <w:r>
        <w:rPr>
          <w:rFonts w:ascii="Garamond" w:hAnsi="Garamond"/>
        </w:rPr>
        <w:t xml:space="preserve">, Turnhout, </w:t>
      </w:r>
      <w:proofErr w:type="spellStart"/>
      <w:r>
        <w:rPr>
          <w:rFonts w:ascii="Garamond" w:hAnsi="Garamond"/>
        </w:rPr>
        <w:t>Brepols</w:t>
      </w:r>
      <w:proofErr w:type="spellEnd"/>
      <w:r>
        <w:rPr>
          <w:rFonts w:ascii="Garamond" w:hAnsi="Garamond"/>
        </w:rPr>
        <w:t>, 2023, p.237-248.</w:t>
      </w:r>
    </w:p>
    <w:p w14:paraId="62CFE8A8" w14:textId="77777777" w:rsidR="0051538E" w:rsidRPr="00C36284" w:rsidRDefault="0051538E" w:rsidP="0051538E">
      <w:pPr>
        <w:pStyle w:val="NormalWeb"/>
        <w:numPr>
          <w:ilvl w:val="0"/>
          <w:numId w:val="4"/>
        </w:numPr>
        <w:spacing w:before="0" w:beforeAutospacing="0" w:after="120"/>
        <w:jc w:val="both"/>
        <w:rPr>
          <w:rFonts w:ascii="Garamond" w:hAnsi="Garamond"/>
        </w:rPr>
      </w:pPr>
      <w:r>
        <w:rPr>
          <w:rFonts w:ascii="Garamond" w:hAnsi="Garamond"/>
          <w:color w:val="000000"/>
          <w:shd w:val="clear" w:color="auto" w:fill="FFFFFF"/>
        </w:rPr>
        <w:t>« </w:t>
      </w:r>
      <w:r w:rsidRPr="006D7108">
        <w:rPr>
          <w:rFonts w:ascii="Garamond" w:hAnsi="Garamond"/>
          <w:color w:val="000000"/>
          <w:shd w:val="clear" w:color="auto" w:fill="FFFFFF"/>
        </w:rPr>
        <w:t>Effets politiques et frontières culturelles de l'histoire de la philosophie au XIXe siècle</w:t>
      </w:r>
      <w:r>
        <w:rPr>
          <w:rFonts w:ascii="Garamond" w:hAnsi="Garamond"/>
          <w:color w:val="000000"/>
          <w:shd w:val="clear" w:color="auto" w:fill="FFFFFF"/>
        </w:rPr>
        <w:t> » in C. Jaquet</w:t>
      </w:r>
      <w:r>
        <w:rPr>
          <w:rFonts w:ascii="Garamond" w:hAnsi="Garamond"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Garamond" w:hAnsi="Garamond"/>
          <w:bCs/>
          <w:color w:val="000000"/>
          <w:shd w:val="clear" w:color="auto" w:fill="FFFFFF"/>
        </w:rPr>
        <w:t>dir</w:t>
      </w:r>
      <w:proofErr w:type="spellEnd"/>
      <w:r>
        <w:rPr>
          <w:rFonts w:ascii="Garamond" w:hAnsi="Garamond"/>
          <w:bCs/>
          <w:color w:val="000000"/>
          <w:shd w:val="clear" w:color="auto" w:fill="FFFFFF"/>
        </w:rPr>
        <w:t xml:space="preserve">.) : </w:t>
      </w:r>
      <w:r w:rsidRPr="00C35B79">
        <w:rPr>
          <w:rFonts w:ascii="Garamond" w:hAnsi="Garamond"/>
          <w:bCs/>
          <w:i/>
          <w:color w:val="000000"/>
          <w:shd w:val="clear" w:color="auto" w:fill="FFFFFF"/>
        </w:rPr>
        <w:t>Faire de l’histoire de la philosophie, les présents du passé</w:t>
      </w:r>
      <w:r>
        <w:rPr>
          <w:rFonts w:ascii="Garamond" w:hAnsi="Garamond"/>
          <w:bCs/>
          <w:color w:val="000000"/>
          <w:shd w:val="clear" w:color="auto" w:fill="FFFFFF"/>
        </w:rPr>
        <w:t>, Paris, Classiques Garnier, 2020 p.61-78.</w:t>
      </w:r>
    </w:p>
    <w:p w14:paraId="5D1D6F9D" w14:textId="77777777" w:rsidR="0051538E" w:rsidRPr="00C36284" w:rsidRDefault="0051538E" w:rsidP="0051538E">
      <w:pPr>
        <w:pStyle w:val="NormalWeb"/>
        <w:numPr>
          <w:ilvl w:val="0"/>
          <w:numId w:val="4"/>
        </w:numPr>
        <w:spacing w:before="0" w:beforeAutospacing="0" w:after="120"/>
        <w:jc w:val="both"/>
        <w:rPr>
          <w:rFonts w:ascii="Garamond" w:hAnsi="Garamond"/>
        </w:rPr>
      </w:pPr>
      <w:r w:rsidRPr="00C36284">
        <w:rPr>
          <w:rFonts w:ascii="Garamond" w:hAnsi="Garamond"/>
        </w:rPr>
        <w:t>« </w:t>
      </w:r>
      <w:r w:rsidRPr="00C36284">
        <w:rPr>
          <w:rFonts w:ascii="Garamond" w:hAnsi="Garamond"/>
          <w:bCs/>
        </w:rPr>
        <w:t>Immuabilité et variabilité des principes dans la théorie politique de G. de Staël</w:t>
      </w:r>
      <w:r w:rsidRPr="00C36284">
        <w:rPr>
          <w:b/>
        </w:rPr>
        <w:t> </w:t>
      </w:r>
      <w:r w:rsidRPr="00C36284">
        <w:rPr>
          <w:rFonts w:ascii="Garamond" w:hAnsi="Garamond"/>
        </w:rPr>
        <w:t xml:space="preserve">» in N. Hatem (éd.) : </w:t>
      </w:r>
      <w:r w:rsidRPr="00C36284">
        <w:rPr>
          <w:rFonts w:ascii="Garamond" w:hAnsi="Garamond"/>
          <w:i/>
          <w:iCs/>
        </w:rPr>
        <w:t>Germaine de Staël, un esprit libre</w:t>
      </w:r>
      <w:r w:rsidRPr="00C36284">
        <w:rPr>
          <w:rFonts w:ascii="Garamond" w:hAnsi="Garamond"/>
        </w:rPr>
        <w:t>, Beyrouth, Edition de l’U.S.J., 2020, p</w:t>
      </w:r>
      <w:r>
        <w:rPr>
          <w:rFonts w:ascii="Garamond" w:hAnsi="Garamond"/>
        </w:rPr>
        <w:t>.</w:t>
      </w:r>
    </w:p>
    <w:p w14:paraId="4D4FBA2B" w14:textId="77777777" w:rsidR="0051538E" w:rsidRPr="00B15EAA" w:rsidRDefault="0051538E" w:rsidP="0051538E">
      <w:pPr>
        <w:pStyle w:val="NormalWeb"/>
        <w:numPr>
          <w:ilvl w:val="0"/>
          <w:numId w:val="4"/>
        </w:numPr>
        <w:spacing w:before="0" w:beforeAutospacing="0" w:after="120"/>
        <w:jc w:val="both"/>
        <w:rPr>
          <w:rFonts w:ascii="Garamond" w:hAnsi="Garamond"/>
        </w:rPr>
      </w:pPr>
      <w:r w:rsidRPr="00B9221E">
        <w:rPr>
          <w:rFonts w:ascii="Garamond" w:hAnsi="Garamond"/>
        </w:rPr>
        <w:t>« Commencement, recommencement et frontières de la philosophie chez Cousin » in</w:t>
      </w:r>
      <w:r w:rsidRPr="00B9221E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D. Antoine-Mahut </w:t>
      </w:r>
      <w:r w:rsidRPr="00B9221E">
        <w:rPr>
          <w:rFonts w:ascii="Garamond" w:hAnsi="Garamond"/>
        </w:rPr>
        <w:t xml:space="preserve">et </w:t>
      </w:r>
      <w:r>
        <w:rPr>
          <w:rFonts w:ascii="Garamond" w:hAnsi="Garamond"/>
        </w:rPr>
        <w:t xml:space="preserve">D. </w:t>
      </w:r>
      <w:r w:rsidRPr="00B9221E">
        <w:rPr>
          <w:rFonts w:ascii="Garamond" w:hAnsi="Garamond"/>
        </w:rPr>
        <w:t>Whistler (éd.</w:t>
      </w:r>
      <w:proofErr w:type="gramStart"/>
      <w:r w:rsidRPr="00B9221E">
        <w:rPr>
          <w:rFonts w:ascii="Garamond" w:hAnsi="Garamond"/>
        </w:rPr>
        <w:t>):</w:t>
      </w:r>
      <w:proofErr w:type="gramEnd"/>
      <w:r w:rsidRPr="00B9221E">
        <w:rPr>
          <w:rFonts w:ascii="Garamond" w:hAnsi="Garamond"/>
        </w:rPr>
        <w:t xml:space="preserve"> </w:t>
      </w:r>
      <w:r w:rsidRPr="00B9221E">
        <w:rPr>
          <w:rFonts w:ascii="Garamond" w:hAnsi="Garamond"/>
          <w:i/>
        </w:rPr>
        <w:t>Une arme philosophique. L’éclectisme de Victor Cousin</w:t>
      </w:r>
      <w:r w:rsidRPr="00B9221E">
        <w:rPr>
          <w:rFonts w:ascii="Garamond" w:hAnsi="Garamond"/>
        </w:rPr>
        <w:t>. Paris, Editions des Archives Contemporaines, 2019, p.19-34.</w:t>
      </w:r>
      <w:r>
        <w:rPr>
          <w:rFonts w:ascii="Garamond" w:hAnsi="Garamond"/>
        </w:rPr>
        <w:t xml:space="preserve"> Article également consultable à l’adresse : </w:t>
      </w:r>
      <w:r w:rsidRPr="00B15EAA">
        <w:rPr>
          <w:rFonts w:ascii="Garamond" w:hAnsi="Garamond"/>
        </w:rPr>
        <w:t>http://www.archivescontemporaines.com/books/9782813002983</w:t>
      </w:r>
    </w:p>
    <w:p w14:paraId="06A5DF30" w14:textId="77777777" w:rsidR="0051538E" w:rsidRDefault="0051538E" w:rsidP="0051538E">
      <w:pPr>
        <w:pStyle w:val="NormalWeb"/>
        <w:numPr>
          <w:ilvl w:val="0"/>
          <w:numId w:val="4"/>
        </w:numPr>
        <w:spacing w:before="0" w:beforeAutospacing="0" w:after="120"/>
        <w:jc w:val="both"/>
        <w:rPr>
          <w:rFonts w:ascii="Garamond" w:hAnsi="Garamond"/>
        </w:rPr>
      </w:pPr>
      <w:r w:rsidRPr="00180CD5">
        <w:rPr>
          <w:rFonts w:ascii="Garamond" w:hAnsi="Garamond"/>
        </w:rPr>
        <w:t xml:space="preserve">« Les traductions de Rousseau en Turquie à partir des années 1940 : l’importance de la question sociale » in E. </w:t>
      </w:r>
      <w:proofErr w:type="spellStart"/>
      <w:r w:rsidRPr="00180CD5">
        <w:rPr>
          <w:rFonts w:ascii="Garamond" w:hAnsi="Garamond"/>
        </w:rPr>
        <w:t>Dufourmont</w:t>
      </w:r>
      <w:proofErr w:type="spellEnd"/>
      <w:r w:rsidRPr="00180CD5">
        <w:rPr>
          <w:rFonts w:ascii="Garamond" w:hAnsi="Garamond"/>
        </w:rPr>
        <w:t xml:space="preserve"> (</w:t>
      </w:r>
      <w:proofErr w:type="spellStart"/>
      <w:r w:rsidRPr="00180CD5">
        <w:rPr>
          <w:rFonts w:ascii="Garamond" w:hAnsi="Garamond"/>
        </w:rPr>
        <w:t>dir</w:t>
      </w:r>
      <w:proofErr w:type="spellEnd"/>
      <w:r w:rsidRPr="00180CD5">
        <w:rPr>
          <w:rFonts w:ascii="Garamond" w:hAnsi="Garamond"/>
        </w:rPr>
        <w:t xml:space="preserve">.), </w:t>
      </w:r>
      <w:r w:rsidRPr="00180CD5">
        <w:rPr>
          <w:rFonts w:ascii="Garamond" w:hAnsi="Garamond"/>
          <w:i/>
        </w:rPr>
        <w:t>Les traductions des textes politiques de J.-J. Rousseau en Asie</w:t>
      </w:r>
      <w:r>
        <w:rPr>
          <w:rFonts w:ascii="Garamond" w:hAnsi="Garamond"/>
        </w:rPr>
        <w:t xml:space="preserve">, numéro spécial de la revue </w:t>
      </w:r>
      <w:r>
        <w:rPr>
          <w:rFonts w:ascii="Garamond" w:hAnsi="Garamond"/>
          <w:i/>
        </w:rPr>
        <w:t>Lumières</w:t>
      </w:r>
      <w:r>
        <w:rPr>
          <w:rFonts w:ascii="Garamond" w:hAnsi="Garamond"/>
        </w:rPr>
        <w:t>, Presses Universitaires de Bordeaux, 2018, p.25-40</w:t>
      </w:r>
      <w:r w:rsidRPr="00180CD5">
        <w:rPr>
          <w:rFonts w:ascii="Garamond" w:hAnsi="Garamond"/>
        </w:rPr>
        <w:t>.</w:t>
      </w:r>
    </w:p>
    <w:p w14:paraId="246FE691" w14:textId="77777777" w:rsidR="0051538E" w:rsidRPr="00C7794E" w:rsidRDefault="0051538E" w:rsidP="0051538E">
      <w:pPr>
        <w:pStyle w:val="NormalWeb"/>
        <w:numPr>
          <w:ilvl w:val="0"/>
          <w:numId w:val="4"/>
        </w:numPr>
        <w:spacing w:before="0" w:beforeAutospacing="0" w:after="120"/>
        <w:jc w:val="both"/>
        <w:rPr>
          <w:rFonts w:ascii="Garamond" w:hAnsi="Garamond"/>
        </w:rPr>
      </w:pPr>
      <w:r w:rsidRPr="00180CD5">
        <w:rPr>
          <w:rFonts w:ascii="Garamond" w:eastAsia="SimSun" w:hAnsi="Garamond"/>
          <w:kern w:val="2"/>
          <w:lang w:eastAsia="hi-IN" w:bidi="hi-IN"/>
        </w:rPr>
        <w:t xml:space="preserve"> « </w:t>
      </w:r>
      <w:r w:rsidRPr="00180CD5">
        <w:rPr>
          <w:rFonts w:ascii="Garamond" w:hAnsi="Garamond"/>
        </w:rPr>
        <w:t xml:space="preserve">Ruptures et continuités du matérialisme entre le XVIIe et le XVIIIe siècle chez le jeune Marx et Heine » in D. Antoine-Mahut, S. </w:t>
      </w:r>
      <w:proofErr w:type="spellStart"/>
      <w:r w:rsidRPr="00180CD5">
        <w:rPr>
          <w:rFonts w:ascii="Garamond" w:hAnsi="Garamond"/>
        </w:rPr>
        <w:t>Zékian</w:t>
      </w:r>
      <w:proofErr w:type="spellEnd"/>
      <w:r w:rsidRPr="00180CD5">
        <w:rPr>
          <w:rFonts w:ascii="Garamond" w:hAnsi="Garamond"/>
        </w:rPr>
        <w:t xml:space="preserve"> (</w:t>
      </w:r>
      <w:proofErr w:type="spellStart"/>
      <w:r w:rsidRPr="00180CD5">
        <w:rPr>
          <w:rFonts w:ascii="Garamond" w:hAnsi="Garamond"/>
        </w:rPr>
        <w:t>dir</w:t>
      </w:r>
      <w:proofErr w:type="spellEnd"/>
      <w:r w:rsidRPr="00180CD5">
        <w:rPr>
          <w:rFonts w:ascii="Garamond" w:hAnsi="Garamond"/>
        </w:rPr>
        <w:t xml:space="preserve">.) : </w:t>
      </w:r>
      <w:r w:rsidRPr="00180CD5">
        <w:rPr>
          <w:rFonts w:ascii="Garamond" w:hAnsi="Garamond"/>
          <w:i/>
        </w:rPr>
        <w:t>Les âges classiques du XIX</w:t>
      </w:r>
      <w:r w:rsidRPr="00180CD5">
        <w:rPr>
          <w:rFonts w:ascii="Garamond" w:hAnsi="Garamond"/>
          <w:i/>
          <w:vertAlign w:val="superscript"/>
        </w:rPr>
        <w:t>e</w:t>
      </w:r>
      <w:r w:rsidRPr="00180CD5">
        <w:rPr>
          <w:rFonts w:ascii="Garamond" w:hAnsi="Garamond"/>
          <w:i/>
        </w:rPr>
        <w:t xml:space="preserve"> </w:t>
      </w:r>
      <w:proofErr w:type="gramStart"/>
      <w:r w:rsidRPr="00180CD5">
        <w:rPr>
          <w:rFonts w:ascii="Garamond" w:hAnsi="Garamond"/>
          <w:i/>
        </w:rPr>
        <w:t>siècle</w:t>
      </w:r>
      <w:r w:rsidRPr="00180CD5">
        <w:rPr>
          <w:rFonts w:ascii="Garamond" w:hAnsi="Garamond"/>
        </w:rPr>
        <w:t>,  Paris</w:t>
      </w:r>
      <w:proofErr w:type="gramEnd"/>
      <w:r w:rsidRPr="00180CD5">
        <w:rPr>
          <w:rFonts w:ascii="Garamond" w:hAnsi="Garamond"/>
        </w:rPr>
        <w:t>, Editions des Archives co</w:t>
      </w:r>
      <w:r>
        <w:rPr>
          <w:rFonts w:ascii="Garamond" w:hAnsi="Garamond"/>
        </w:rPr>
        <w:t xml:space="preserve">ntemporaines, </w:t>
      </w:r>
      <w:r w:rsidRPr="00180CD5">
        <w:rPr>
          <w:rFonts w:ascii="Garamond" w:hAnsi="Garamond"/>
        </w:rPr>
        <w:t>2018</w:t>
      </w:r>
      <w:r>
        <w:rPr>
          <w:rFonts w:ascii="Garamond" w:hAnsi="Garamond"/>
        </w:rPr>
        <w:t>, p.275-292</w:t>
      </w:r>
      <w:r w:rsidRPr="00180CD5">
        <w:rPr>
          <w:rFonts w:ascii="Garamond" w:hAnsi="Garamond"/>
        </w:rPr>
        <w:t>.</w:t>
      </w:r>
    </w:p>
    <w:p w14:paraId="73ED1001" w14:textId="77777777" w:rsidR="0051538E" w:rsidRPr="00180CD5" w:rsidRDefault="0051538E" w:rsidP="0051538E">
      <w:pPr>
        <w:pStyle w:val="NormalWeb"/>
        <w:numPr>
          <w:ilvl w:val="0"/>
          <w:numId w:val="4"/>
        </w:numPr>
        <w:spacing w:before="0" w:beforeAutospacing="0" w:after="120"/>
        <w:ind w:left="357" w:hanging="357"/>
        <w:jc w:val="both"/>
        <w:rPr>
          <w:rFonts w:ascii="Garamond" w:hAnsi="Garamond"/>
        </w:rPr>
      </w:pPr>
      <w:r w:rsidRPr="00180CD5">
        <w:rPr>
          <w:rFonts w:ascii="Garamond" w:eastAsia="SimSun" w:hAnsi="Garamond"/>
          <w:kern w:val="2"/>
          <w:lang w:eastAsia="hi-IN" w:bidi="hi-IN"/>
        </w:rPr>
        <w:t xml:space="preserve">« Comment éclairer le peuple souverain ? </w:t>
      </w:r>
      <w:proofErr w:type="spellStart"/>
      <w:r w:rsidRPr="00180CD5">
        <w:rPr>
          <w:rFonts w:ascii="Garamond" w:eastAsia="SimSun" w:hAnsi="Garamond"/>
          <w:kern w:val="2"/>
          <w:lang w:eastAsia="hi-IN" w:bidi="hi-IN"/>
        </w:rPr>
        <w:t>Sabahattin</w:t>
      </w:r>
      <w:proofErr w:type="spellEnd"/>
      <w:r w:rsidRPr="00180CD5">
        <w:rPr>
          <w:rFonts w:ascii="Garamond" w:eastAsia="SimSun" w:hAnsi="Garamond"/>
          <w:kern w:val="2"/>
          <w:lang w:eastAsia="hi-IN" w:bidi="hi-IN"/>
        </w:rPr>
        <w:t xml:space="preserve"> </w:t>
      </w:r>
      <w:proofErr w:type="spellStart"/>
      <w:r w:rsidRPr="00180CD5">
        <w:rPr>
          <w:rFonts w:ascii="Garamond" w:eastAsia="SimSun" w:hAnsi="Garamond"/>
          <w:kern w:val="2"/>
          <w:lang w:eastAsia="hi-IN" w:bidi="hi-IN"/>
        </w:rPr>
        <w:t>Eyuboğlu</w:t>
      </w:r>
      <w:proofErr w:type="spellEnd"/>
      <w:r w:rsidRPr="00180CD5">
        <w:rPr>
          <w:rFonts w:ascii="Garamond" w:eastAsia="SimSun" w:hAnsi="Garamond"/>
          <w:kern w:val="2"/>
          <w:lang w:eastAsia="hi-IN" w:bidi="hi-IN"/>
        </w:rPr>
        <w:t xml:space="preserve"> ou les réflexions d’un intellectuel kémaliste » in P. Pellerin, J. Domenech (</w:t>
      </w:r>
      <w:proofErr w:type="spellStart"/>
      <w:r w:rsidRPr="00180CD5">
        <w:rPr>
          <w:rFonts w:ascii="Garamond" w:eastAsia="SimSun" w:hAnsi="Garamond"/>
          <w:kern w:val="2"/>
          <w:lang w:eastAsia="hi-IN" w:bidi="hi-IN"/>
        </w:rPr>
        <w:t>dir</w:t>
      </w:r>
      <w:proofErr w:type="spellEnd"/>
      <w:r w:rsidRPr="00180CD5">
        <w:rPr>
          <w:rFonts w:ascii="Garamond" w:eastAsia="SimSun" w:hAnsi="Garamond"/>
          <w:kern w:val="2"/>
          <w:lang w:eastAsia="hi-IN" w:bidi="hi-IN"/>
        </w:rPr>
        <w:t xml:space="preserve">.) : </w:t>
      </w:r>
      <w:r w:rsidRPr="00180CD5">
        <w:rPr>
          <w:rFonts w:ascii="Garamond" w:eastAsia="SimSun" w:hAnsi="Garamond"/>
          <w:i/>
          <w:kern w:val="2"/>
          <w:lang w:eastAsia="hi-IN" w:bidi="hi-IN"/>
        </w:rPr>
        <w:t xml:space="preserve">La place des Lumières dans les pays arabo-musulmans </w:t>
      </w:r>
      <w:proofErr w:type="spellStart"/>
      <w:r w:rsidRPr="00180CD5">
        <w:rPr>
          <w:rFonts w:ascii="Garamond" w:eastAsia="SimSun" w:hAnsi="Garamond"/>
          <w:i/>
          <w:kern w:val="2"/>
          <w:lang w:eastAsia="hi-IN" w:bidi="hi-IN"/>
        </w:rPr>
        <w:t>XVIIIè-XXIè</w:t>
      </w:r>
      <w:proofErr w:type="spellEnd"/>
      <w:r w:rsidRPr="00180CD5">
        <w:rPr>
          <w:rFonts w:ascii="Garamond" w:eastAsia="SimSun" w:hAnsi="Garamond"/>
          <w:i/>
          <w:kern w:val="2"/>
          <w:lang w:eastAsia="hi-IN" w:bidi="hi-IN"/>
        </w:rPr>
        <w:t xml:space="preserve"> siècles. Nationalisme, indépendances et printemps arabes</w:t>
      </w:r>
      <w:r w:rsidRPr="00180CD5">
        <w:rPr>
          <w:rFonts w:ascii="Garamond" w:eastAsia="SimSun" w:hAnsi="Garamond"/>
          <w:kern w:val="2"/>
          <w:lang w:eastAsia="hi-IN" w:bidi="hi-IN"/>
        </w:rPr>
        <w:t>, Paris, Classiques Garnier, collection « Rencontres – Le dix-huitième siècle », 2017, p.159-176.</w:t>
      </w:r>
    </w:p>
    <w:p w14:paraId="688BF391" w14:textId="77777777" w:rsidR="0051538E" w:rsidRPr="00180CD5" w:rsidRDefault="0051538E" w:rsidP="0051538E">
      <w:pPr>
        <w:pStyle w:val="NormalWeb"/>
        <w:widowControl w:val="0"/>
        <w:numPr>
          <w:ilvl w:val="0"/>
          <w:numId w:val="4"/>
        </w:numPr>
        <w:suppressAutoHyphens/>
        <w:spacing w:before="0" w:beforeAutospacing="0" w:after="120"/>
        <w:jc w:val="both"/>
        <w:rPr>
          <w:rFonts w:ascii="Garamond" w:eastAsia="SimSun" w:hAnsi="Garamond"/>
          <w:kern w:val="2"/>
          <w:lang w:val="de-DE" w:eastAsia="hi-IN" w:bidi="hi-IN"/>
        </w:rPr>
      </w:pPr>
      <w:r w:rsidRPr="00180CD5">
        <w:rPr>
          <w:rFonts w:ascii="Garamond" w:eastAsia="Arial Unicode MS" w:hAnsi="Garamond"/>
          <w:kern w:val="2"/>
          <w:lang w:eastAsia="hi-IN" w:bidi="hi-IN"/>
        </w:rPr>
        <w:t xml:space="preserve">« Le récit historique permet-il de résoudre les questions philosophiques ? </w:t>
      </w:r>
      <w:r w:rsidRPr="00BC18C9">
        <w:rPr>
          <w:rFonts w:ascii="Garamond" w:eastAsia="Arial Unicode MS" w:hAnsi="Garamond"/>
          <w:kern w:val="2"/>
          <w:lang w:eastAsia="hi-IN" w:bidi="hi-IN"/>
        </w:rPr>
        <w:t xml:space="preserve">Les histoires de la philosophie de </w:t>
      </w:r>
      <w:proofErr w:type="spellStart"/>
      <w:r w:rsidRPr="00BC18C9">
        <w:rPr>
          <w:rFonts w:ascii="Garamond" w:eastAsia="Arial Unicode MS" w:hAnsi="Garamond"/>
          <w:kern w:val="2"/>
          <w:lang w:eastAsia="hi-IN" w:bidi="hi-IN"/>
        </w:rPr>
        <w:t>Tennemann</w:t>
      </w:r>
      <w:proofErr w:type="spellEnd"/>
      <w:r w:rsidRPr="00BC18C9">
        <w:rPr>
          <w:rFonts w:ascii="Garamond" w:eastAsia="Arial Unicode MS" w:hAnsi="Garamond"/>
          <w:kern w:val="2"/>
          <w:lang w:eastAsia="hi-IN" w:bidi="hi-IN"/>
        </w:rPr>
        <w:t xml:space="preserve"> et </w:t>
      </w:r>
      <w:proofErr w:type="spellStart"/>
      <w:r w:rsidRPr="00BC18C9">
        <w:rPr>
          <w:rFonts w:ascii="Garamond" w:eastAsia="Arial Unicode MS" w:hAnsi="Garamond"/>
          <w:kern w:val="2"/>
          <w:lang w:eastAsia="hi-IN" w:bidi="hi-IN"/>
        </w:rPr>
        <w:t>Degérando</w:t>
      </w:r>
      <w:proofErr w:type="spellEnd"/>
      <w:r w:rsidRPr="00BC18C9">
        <w:rPr>
          <w:rFonts w:ascii="Garamond" w:eastAsia="Arial Unicode MS" w:hAnsi="Garamond"/>
          <w:kern w:val="2"/>
          <w:lang w:eastAsia="hi-IN" w:bidi="hi-IN"/>
        </w:rPr>
        <w:t xml:space="preserve"> », in D. Fulda, E. </w:t>
      </w:r>
      <w:proofErr w:type="spellStart"/>
      <w:r w:rsidRPr="00BC18C9">
        <w:rPr>
          <w:rFonts w:ascii="Garamond" w:eastAsia="Arial Unicode MS" w:hAnsi="Garamond"/>
          <w:kern w:val="2"/>
          <w:lang w:eastAsia="hi-IN" w:bidi="hi-IN"/>
        </w:rPr>
        <w:t>Décultot</w:t>
      </w:r>
      <w:proofErr w:type="spellEnd"/>
      <w:r w:rsidRPr="00BC18C9">
        <w:rPr>
          <w:rFonts w:ascii="Garamond" w:eastAsia="Arial Unicode MS" w:hAnsi="Garamond"/>
          <w:kern w:val="2"/>
          <w:lang w:eastAsia="hi-IN" w:bidi="hi-IN"/>
        </w:rPr>
        <w:t xml:space="preserve"> (</w:t>
      </w:r>
      <w:proofErr w:type="spellStart"/>
      <w:r w:rsidRPr="00BC18C9">
        <w:rPr>
          <w:rFonts w:ascii="Garamond" w:eastAsia="Arial Unicode MS" w:hAnsi="Garamond"/>
          <w:kern w:val="2"/>
          <w:lang w:eastAsia="hi-IN" w:bidi="hi-IN"/>
        </w:rPr>
        <w:t>dir</w:t>
      </w:r>
      <w:proofErr w:type="spellEnd"/>
      <w:r w:rsidRPr="00BC18C9">
        <w:rPr>
          <w:rFonts w:ascii="Garamond" w:eastAsia="Arial Unicode MS" w:hAnsi="Garamond"/>
          <w:kern w:val="2"/>
          <w:lang w:eastAsia="hi-IN" w:bidi="hi-IN"/>
        </w:rPr>
        <w:t xml:space="preserve">.) : </w:t>
      </w:r>
      <w:r w:rsidRPr="00BC18C9">
        <w:rPr>
          <w:rFonts w:ascii="Garamond" w:eastAsia="Arial Unicode MS" w:hAnsi="Garamond"/>
          <w:i/>
          <w:kern w:val="2"/>
          <w:lang w:eastAsia="hi-IN" w:bidi="hi-IN"/>
        </w:rPr>
        <w:t xml:space="preserve">Die </w:t>
      </w:r>
      <w:proofErr w:type="spellStart"/>
      <w:r w:rsidRPr="00BC18C9">
        <w:rPr>
          <w:rFonts w:ascii="Garamond" w:eastAsia="Arial Unicode MS" w:hAnsi="Garamond"/>
          <w:i/>
          <w:kern w:val="2"/>
          <w:lang w:eastAsia="hi-IN" w:bidi="hi-IN"/>
        </w:rPr>
        <w:t>Vielfalt</w:t>
      </w:r>
      <w:proofErr w:type="spellEnd"/>
      <w:r w:rsidRPr="00BC18C9">
        <w:rPr>
          <w:rFonts w:ascii="Garamond" w:eastAsia="Arial Unicode MS" w:hAnsi="Garamond"/>
          <w:i/>
          <w:kern w:val="2"/>
          <w:lang w:eastAsia="hi-IN" w:bidi="hi-IN"/>
        </w:rPr>
        <w:t xml:space="preserve"> der </w:t>
      </w:r>
      <w:proofErr w:type="spellStart"/>
      <w:r w:rsidRPr="00BC18C9">
        <w:rPr>
          <w:rFonts w:ascii="Garamond" w:eastAsia="Arial Unicode MS" w:hAnsi="Garamond"/>
          <w:i/>
          <w:kern w:val="2"/>
          <w:lang w:eastAsia="hi-IN" w:bidi="hi-IN"/>
        </w:rPr>
        <w:t>Sattelzeit</w:t>
      </w:r>
      <w:proofErr w:type="spellEnd"/>
      <w:r w:rsidRPr="00BC18C9">
        <w:rPr>
          <w:rFonts w:ascii="Garamond" w:eastAsia="Arial Unicode MS" w:hAnsi="Garamond"/>
          <w:i/>
          <w:kern w:val="2"/>
          <w:lang w:eastAsia="hi-IN" w:bidi="hi-IN"/>
        </w:rPr>
        <w:t xml:space="preserve">. </w:t>
      </w:r>
      <w:r w:rsidRPr="00180CD5">
        <w:rPr>
          <w:rFonts w:ascii="Garamond" w:eastAsia="Arial Unicode MS" w:hAnsi="Garamond"/>
          <w:i/>
          <w:kern w:val="2"/>
          <w:lang w:val="de-DE" w:eastAsia="hi-IN" w:bidi="hi-IN"/>
        </w:rPr>
        <w:t>Strukturen und Tendenzen des historischen Erzählens um 1800 im deutsch-französischen Vergleich</w:t>
      </w:r>
      <w:r w:rsidRPr="00180CD5">
        <w:rPr>
          <w:rFonts w:ascii="Garamond" w:eastAsia="Arial Unicode MS" w:hAnsi="Garamond"/>
          <w:iCs/>
          <w:kern w:val="2"/>
          <w:lang w:val="de-DE" w:eastAsia="hi-IN" w:bidi="hi-IN"/>
        </w:rPr>
        <w:t xml:space="preserve">, </w:t>
      </w:r>
      <w:r w:rsidRPr="00180CD5">
        <w:rPr>
          <w:rFonts w:ascii="Garamond" w:hAnsi="Garamond"/>
          <w:lang w:val="de-DE"/>
        </w:rPr>
        <w:t>Berlin/Boston, De Gruyter, 2016, p.272-287.</w:t>
      </w:r>
      <w:bookmarkStart w:id="5" w:name="OLE_LINK8"/>
    </w:p>
    <w:p w14:paraId="5C0BEF98" w14:textId="77777777" w:rsidR="0051538E" w:rsidRPr="00180CD5" w:rsidRDefault="0051538E" w:rsidP="0051538E">
      <w:pPr>
        <w:pStyle w:val="NormalWeb"/>
        <w:widowControl w:val="0"/>
        <w:numPr>
          <w:ilvl w:val="0"/>
          <w:numId w:val="4"/>
        </w:numPr>
        <w:suppressAutoHyphens/>
        <w:spacing w:before="120" w:beforeAutospacing="0" w:after="120"/>
        <w:ind w:left="357" w:hanging="357"/>
        <w:jc w:val="both"/>
        <w:rPr>
          <w:rFonts w:ascii="Garamond" w:eastAsia="SimSun" w:hAnsi="Garamond"/>
          <w:kern w:val="2"/>
          <w:lang w:eastAsia="hi-IN" w:bidi="hi-IN"/>
        </w:rPr>
      </w:pPr>
      <w:r w:rsidRPr="00582F7A">
        <w:rPr>
          <w:rFonts w:ascii="Garamond" w:eastAsia="SimSun" w:hAnsi="Garamond"/>
          <w:kern w:val="2"/>
          <w:lang w:val="de-DE" w:eastAsia="hi-IN" w:bidi="hi-IN"/>
        </w:rPr>
        <w:t xml:space="preserve"> </w:t>
      </w:r>
      <w:r w:rsidRPr="00180CD5">
        <w:rPr>
          <w:rFonts w:ascii="Garamond" w:eastAsia="SimSun" w:hAnsi="Garamond"/>
          <w:kern w:val="2"/>
          <w:lang w:eastAsia="hi-IN" w:bidi="hi-IN"/>
        </w:rPr>
        <w:t xml:space="preserve">« L’utilité indirecte de la philosophie chez J.-M. de Gérando » in J.-L. </w:t>
      </w:r>
      <w:proofErr w:type="spellStart"/>
      <w:r w:rsidRPr="00180CD5">
        <w:rPr>
          <w:rFonts w:ascii="Garamond" w:eastAsia="SimSun" w:hAnsi="Garamond"/>
          <w:kern w:val="2"/>
          <w:lang w:eastAsia="hi-IN" w:bidi="hi-IN"/>
        </w:rPr>
        <w:t>Chappey</w:t>
      </w:r>
      <w:proofErr w:type="spellEnd"/>
      <w:r w:rsidRPr="00180CD5">
        <w:rPr>
          <w:rFonts w:ascii="Garamond" w:eastAsia="SimSun" w:hAnsi="Garamond"/>
          <w:kern w:val="2"/>
          <w:lang w:eastAsia="hi-IN" w:bidi="hi-IN"/>
        </w:rPr>
        <w:t xml:space="preserve">, C. Christen, I. </w:t>
      </w:r>
      <w:proofErr w:type="spellStart"/>
      <w:r w:rsidRPr="00180CD5">
        <w:rPr>
          <w:rFonts w:ascii="Garamond" w:eastAsia="SimSun" w:hAnsi="Garamond"/>
          <w:kern w:val="2"/>
          <w:lang w:eastAsia="hi-IN" w:bidi="hi-IN"/>
        </w:rPr>
        <w:t>Moullier</w:t>
      </w:r>
      <w:proofErr w:type="spellEnd"/>
      <w:r w:rsidRPr="00180CD5">
        <w:rPr>
          <w:rFonts w:ascii="Garamond" w:eastAsia="SimSun" w:hAnsi="Garamond"/>
          <w:kern w:val="2"/>
          <w:lang w:eastAsia="hi-IN" w:bidi="hi-IN"/>
        </w:rPr>
        <w:t xml:space="preserve"> (</w:t>
      </w:r>
      <w:proofErr w:type="spellStart"/>
      <w:r w:rsidRPr="00180CD5">
        <w:rPr>
          <w:rFonts w:ascii="Garamond" w:eastAsia="SimSun" w:hAnsi="Garamond"/>
          <w:kern w:val="2"/>
          <w:lang w:eastAsia="hi-IN" w:bidi="hi-IN"/>
        </w:rPr>
        <w:t>dir</w:t>
      </w:r>
      <w:proofErr w:type="spellEnd"/>
      <w:r w:rsidRPr="00180CD5">
        <w:rPr>
          <w:rFonts w:ascii="Garamond" w:eastAsia="SimSun" w:hAnsi="Garamond"/>
          <w:kern w:val="2"/>
          <w:lang w:eastAsia="hi-IN" w:bidi="hi-IN"/>
        </w:rPr>
        <w:t xml:space="preserve">.) </w:t>
      </w:r>
      <w:r w:rsidRPr="00180CD5">
        <w:rPr>
          <w:rFonts w:ascii="Garamond" w:eastAsia="SimSun" w:hAnsi="Garamond"/>
          <w:i/>
          <w:iCs/>
          <w:kern w:val="2"/>
          <w:lang w:eastAsia="hi-IN" w:bidi="hi-IN"/>
        </w:rPr>
        <w:t>Observer, normaliser et réformer la société du premier XIX</w:t>
      </w:r>
      <w:r w:rsidRPr="00180CD5">
        <w:rPr>
          <w:rFonts w:ascii="Garamond" w:eastAsia="SimSun" w:hAnsi="Garamond"/>
          <w:i/>
          <w:iCs/>
          <w:kern w:val="2"/>
          <w:vertAlign w:val="superscript"/>
          <w:lang w:eastAsia="hi-IN" w:bidi="hi-IN"/>
        </w:rPr>
        <w:t>e</w:t>
      </w:r>
      <w:r w:rsidRPr="00180CD5">
        <w:rPr>
          <w:rFonts w:ascii="Garamond" w:eastAsia="SimSun" w:hAnsi="Garamond"/>
          <w:i/>
          <w:iCs/>
          <w:kern w:val="2"/>
          <w:lang w:eastAsia="hi-IN" w:bidi="hi-IN"/>
        </w:rPr>
        <w:t xml:space="preserve"> siècle. Joseph-Marie de Gérando (1772-1842) au carrefour des savoirs</w:t>
      </w:r>
      <w:bookmarkEnd w:id="5"/>
      <w:r w:rsidRPr="00180CD5">
        <w:rPr>
          <w:rFonts w:ascii="Garamond" w:eastAsia="SimSun" w:hAnsi="Garamond"/>
          <w:kern w:val="2"/>
          <w:lang w:eastAsia="hi-IN" w:bidi="hi-IN"/>
        </w:rPr>
        <w:t>, Rennes, Presses Universitaires de Rennes, 2014, p.63-77.</w:t>
      </w:r>
    </w:p>
    <w:p w14:paraId="50F385F7" w14:textId="77777777" w:rsidR="0051538E" w:rsidRPr="00180CD5" w:rsidRDefault="0051538E" w:rsidP="0051538E">
      <w:pPr>
        <w:pStyle w:val="Paragraphedeliste"/>
        <w:widowControl w:val="0"/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rFonts w:ascii="Garamond" w:eastAsia="Times New Roman" w:hAnsi="Garamond" w:cs="Times New Roman"/>
          <w:kern w:val="2"/>
          <w:lang w:val="fr-FR" w:eastAsia="hi-IN" w:bidi="hi-IN"/>
        </w:rPr>
      </w:pP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 « La raison pure peut-elle être pratique ? La figure du philosophe allemand au début du XIXème siècle en France », in A. Baillot, A. Yuva (</w:t>
      </w:r>
      <w:proofErr w:type="spellStart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dir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.) : </w:t>
      </w:r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France-Allemagne : les figures de l’intellectuel, entre Révolution et réaction</w:t>
      </w:r>
      <w:r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 xml:space="preserve"> </w:t>
      </w:r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(1780-1848)</w:t>
      </w:r>
      <w:r w:rsidRPr="00180CD5">
        <w:rPr>
          <w:rFonts w:ascii="Garamond" w:eastAsia="SimSun" w:hAnsi="Garamond" w:cs="Times New Roman"/>
          <w:iCs/>
          <w:kern w:val="2"/>
          <w:lang w:val="fr-FR" w:eastAsia="hi-IN" w:bidi="hi-IN"/>
        </w:rPr>
        <w:t>, Villeneuve d’Ascq, Presses Universitaires du Septentrion, 2014, p.115-134.</w:t>
      </w:r>
    </w:p>
    <w:p w14:paraId="29673637" w14:textId="77777777" w:rsidR="0051538E" w:rsidRPr="00180CD5" w:rsidRDefault="0051538E" w:rsidP="0051538E">
      <w:pPr>
        <w:widowControl w:val="0"/>
        <w:suppressAutoHyphens/>
        <w:overflowPunct w:val="0"/>
        <w:autoSpaceDE w:val="0"/>
        <w:jc w:val="both"/>
        <w:textAlignment w:val="baseline"/>
        <w:rPr>
          <w:rFonts w:ascii="Garamond" w:eastAsia="Times New Roman" w:hAnsi="Garamond" w:cs="Times New Roman"/>
          <w:b/>
          <w:bCs/>
          <w:iCs/>
          <w:kern w:val="2"/>
          <w:lang w:val="fr-FR" w:eastAsia="hi-IN" w:bidi="hi-IN"/>
        </w:rPr>
      </w:pPr>
    </w:p>
    <w:p w14:paraId="77979B84" w14:textId="77777777" w:rsidR="0051538E" w:rsidRPr="00180CD5" w:rsidRDefault="0051538E" w:rsidP="0051538E">
      <w:pPr>
        <w:pStyle w:val="Paragraphedeliste"/>
        <w:widowControl w:val="0"/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rFonts w:ascii="Garamond" w:eastAsia="Times New Roman" w:hAnsi="Garamond" w:cs="Times New Roman"/>
          <w:kern w:val="2"/>
          <w:lang w:eastAsia="hi-IN" w:bidi="hi-IN"/>
        </w:rPr>
      </w:pP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« Ecriture et histoire : le caractère </w:t>
      </w:r>
      <w:proofErr w:type="spellStart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anti-systématique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 des </w:t>
      </w:r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Sylves critiques</w:t>
      </w: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 », in E. </w:t>
      </w:r>
      <w:proofErr w:type="spellStart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Décultot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 (</w:t>
      </w:r>
      <w:proofErr w:type="spellStart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dir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.) : </w:t>
      </w:r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 xml:space="preserve">Herder </w:t>
      </w:r>
      <w:proofErr w:type="spellStart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und</w:t>
      </w:r>
      <w:proofErr w:type="spellEnd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 xml:space="preserve"> die </w:t>
      </w:r>
      <w:proofErr w:type="spellStart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Künste</w:t>
      </w:r>
      <w:proofErr w:type="spellEnd"/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 xml:space="preserve">. </w:t>
      </w:r>
      <w:r w:rsidRPr="00180CD5">
        <w:rPr>
          <w:rFonts w:ascii="Garamond" w:eastAsia="SimSun" w:hAnsi="Garamond" w:cs="Times New Roman"/>
          <w:i/>
          <w:iCs/>
          <w:kern w:val="2"/>
          <w:lang w:eastAsia="hi-IN" w:bidi="hi-IN"/>
        </w:rPr>
        <w:t>Ästhetik, Kunsttheorie, Kunstgeschichte</w:t>
      </w:r>
      <w:r w:rsidRPr="00180CD5">
        <w:rPr>
          <w:rFonts w:ascii="Garamond" w:eastAsia="SimSun" w:hAnsi="Garamond" w:cs="Times New Roman"/>
          <w:kern w:val="2"/>
          <w:lang w:eastAsia="hi-IN" w:bidi="hi-IN"/>
        </w:rPr>
        <w:t>, Heidelberg, Carl Winter Verlag, 2013, p.121-138.</w:t>
      </w:r>
    </w:p>
    <w:p w14:paraId="0E36185C" w14:textId="77777777" w:rsidR="0051538E" w:rsidRPr="00180CD5" w:rsidRDefault="0051538E" w:rsidP="0051538E">
      <w:pPr>
        <w:widowControl w:val="0"/>
        <w:suppressAutoHyphens/>
        <w:jc w:val="both"/>
        <w:rPr>
          <w:rFonts w:ascii="Garamond" w:eastAsia="SimSun" w:hAnsi="Garamond" w:cs="Times New Roman"/>
          <w:kern w:val="2"/>
          <w:lang w:val="fr-FR" w:eastAsia="hi-IN" w:bidi="hi-IN"/>
        </w:rPr>
      </w:pPr>
    </w:p>
    <w:p w14:paraId="4C512935" w14:textId="77777777" w:rsidR="0051538E" w:rsidRPr="00626963" w:rsidRDefault="0051538E" w:rsidP="0051538E">
      <w:pPr>
        <w:pStyle w:val="Paragraphedeliste"/>
        <w:widowControl w:val="0"/>
        <w:numPr>
          <w:ilvl w:val="0"/>
          <w:numId w:val="4"/>
        </w:numPr>
        <w:suppressAutoHyphens/>
        <w:jc w:val="both"/>
        <w:rPr>
          <w:rFonts w:ascii="Garamond" w:eastAsia="SimSun" w:hAnsi="Garamond" w:cs="Times New Roman"/>
          <w:b/>
          <w:bCs/>
          <w:kern w:val="2"/>
          <w:lang w:val="fr-FR" w:eastAsia="hi-IN" w:bidi="hi-IN"/>
        </w:rPr>
      </w:pP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« Philosophie populaire et philosophie popularisée : les critiques à l’encontre de l’opinion publique à la fin du XVIIIème siècle chez </w:t>
      </w:r>
      <w:proofErr w:type="spellStart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Garve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, Fichte et Kant » in B. Binoche et A. Lemaître (</w:t>
      </w:r>
      <w:proofErr w:type="spellStart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dir</w:t>
      </w:r>
      <w:proofErr w:type="spellEnd"/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 xml:space="preserve">.) : </w:t>
      </w:r>
      <w:r w:rsidRPr="00180CD5">
        <w:rPr>
          <w:rFonts w:ascii="Garamond" w:eastAsia="SimSun" w:hAnsi="Garamond" w:cs="Times New Roman"/>
          <w:i/>
          <w:iCs/>
          <w:kern w:val="2"/>
          <w:lang w:val="fr-FR" w:eastAsia="hi-IN" w:bidi="hi-IN"/>
        </w:rPr>
        <w:t>L’opinion publique à l’âge des Lumières. Stratégies et concepts</w:t>
      </w: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t>, Paris, Armand Colin, 2013, p.211-</w:t>
      </w:r>
      <w:r w:rsidRPr="00180CD5">
        <w:rPr>
          <w:rFonts w:ascii="Garamond" w:eastAsia="SimSun" w:hAnsi="Garamond" w:cs="Times New Roman"/>
          <w:kern w:val="2"/>
          <w:lang w:val="fr-FR" w:eastAsia="hi-IN" w:bidi="hi-IN"/>
        </w:rPr>
        <w:lastRenderedPageBreak/>
        <w:t>229.</w:t>
      </w:r>
    </w:p>
    <w:p w14:paraId="60A6C166" w14:textId="77777777" w:rsidR="0051538E" w:rsidRPr="00626963" w:rsidRDefault="0051538E" w:rsidP="0051538E">
      <w:pPr>
        <w:pStyle w:val="Paragraphedeliste"/>
        <w:rPr>
          <w:rFonts w:ascii="Garamond" w:eastAsia="SimSun" w:hAnsi="Garamond" w:cs="Times New Roman"/>
          <w:b/>
          <w:bCs/>
          <w:kern w:val="2"/>
          <w:lang w:val="fr-FR" w:eastAsia="hi-IN" w:bidi="hi-IN"/>
        </w:rPr>
      </w:pPr>
    </w:p>
    <w:p w14:paraId="78565C83" w14:textId="77777777" w:rsidR="0051538E" w:rsidRPr="00626963" w:rsidRDefault="0051538E" w:rsidP="0051538E">
      <w:pPr>
        <w:widowControl w:val="0"/>
        <w:suppressAutoHyphens/>
        <w:jc w:val="both"/>
        <w:rPr>
          <w:rFonts w:ascii="Garamond" w:eastAsia="SimSun" w:hAnsi="Garamond" w:cs="Times New Roman"/>
          <w:b/>
          <w:bCs/>
          <w:i/>
          <w:kern w:val="2"/>
          <w:lang w:val="fr-FR" w:eastAsia="hi-IN" w:bidi="hi-IN"/>
        </w:rPr>
      </w:pPr>
      <w:r>
        <w:rPr>
          <w:rFonts w:ascii="Garamond" w:eastAsia="SimSun" w:hAnsi="Garamond" w:cs="Times New Roman"/>
          <w:b/>
          <w:bCs/>
          <w:i/>
          <w:kern w:val="2"/>
          <w:lang w:val="fr-FR" w:eastAsia="hi-IN" w:bidi="hi-IN"/>
        </w:rPr>
        <w:t>En ligne :</w:t>
      </w:r>
    </w:p>
    <w:p w14:paraId="24281476" w14:textId="77777777" w:rsidR="0051538E" w:rsidRPr="001573C2" w:rsidRDefault="0051538E" w:rsidP="0051538E">
      <w:pPr>
        <w:pStyle w:val="Paragraphedeliste"/>
        <w:rPr>
          <w:rFonts w:ascii="Garamond" w:eastAsia="SimSun" w:hAnsi="Garamond" w:cs="Times New Roman"/>
          <w:b/>
          <w:bCs/>
          <w:kern w:val="2"/>
          <w:lang w:val="fr-FR" w:eastAsia="hi-IN" w:bidi="hi-IN"/>
        </w:rPr>
      </w:pPr>
    </w:p>
    <w:p w14:paraId="30A5CAE9" w14:textId="77777777" w:rsidR="0051538E" w:rsidRPr="00CC6273" w:rsidRDefault="0051538E" w:rsidP="0051538E">
      <w:pPr>
        <w:pStyle w:val="Paragraphedeliste"/>
        <w:numPr>
          <w:ilvl w:val="0"/>
          <w:numId w:val="4"/>
        </w:numPr>
        <w:spacing w:after="120"/>
        <w:contextualSpacing w:val="0"/>
        <w:jc w:val="both"/>
        <w:rPr>
          <w:rFonts w:ascii="Garamond" w:eastAsia="Times New Roman" w:hAnsi="Garamond" w:cs="Arial"/>
          <w:b/>
          <w:bCs/>
        </w:rPr>
      </w:pPr>
      <w:r w:rsidRPr="0094067A">
        <w:rPr>
          <w:rStyle w:val="lev"/>
          <w:rFonts w:ascii="Garamond" w:hAnsi="Garamond" w:cs="Tahoma"/>
          <w:b w:val="0"/>
          <w:bCs w:val="0"/>
          <w:bdr w:val="none" w:sz="0" w:space="0" w:color="auto" w:frame="1"/>
          <w:lang w:val="fr-FR"/>
        </w:rPr>
        <w:t xml:space="preserve">« Le caractère européen de la philosophie chez </w:t>
      </w:r>
      <w:proofErr w:type="spellStart"/>
      <w:r w:rsidRPr="0094067A">
        <w:rPr>
          <w:rStyle w:val="lev"/>
          <w:rFonts w:ascii="Garamond" w:hAnsi="Garamond" w:cs="Tahoma"/>
          <w:b w:val="0"/>
          <w:bCs w:val="0"/>
          <w:bdr w:val="none" w:sz="0" w:space="0" w:color="auto" w:frame="1"/>
          <w:lang w:val="fr-FR"/>
        </w:rPr>
        <w:t>Beşir</w:t>
      </w:r>
      <w:proofErr w:type="spellEnd"/>
      <w:r w:rsidRPr="0094067A">
        <w:rPr>
          <w:rStyle w:val="lev"/>
          <w:rFonts w:ascii="Garamond" w:hAnsi="Garamond" w:cs="Tahoma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94067A">
        <w:rPr>
          <w:rStyle w:val="lev"/>
          <w:rFonts w:ascii="Garamond" w:hAnsi="Garamond" w:cs="Tahoma"/>
          <w:b w:val="0"/>
          <w:bCs w:val="0"/>
          <w:bdr w:val="none" w:sz="0" w:space="0" w:color="auto" w:frame="1"/>
          <w:lang w:val="fr-FR"/>
        </w:rPr>
        <w:t>Fuad</w:t>
      </w:r>
      <w:proofErr w:type="spellEnd"/>
      <w:r w:rsidRPr="0094067A">
        <w:rPr>
          <w:rStyle w:val="lev"/>
          <w:rFonts w:ascii="Garamond" w:hAnsi="Garamond" w:cs="Tahoma"/>
          <w:b w:val="0"/>
          <w:bCs w:val="0"/>
          <w:bdr w:val="none" w:sz="0" w:space="0" w:color="auto" w:frame="1"/>
          <w:lang w:val="fr-FR"/>
        </w:rPr>
        <w:t xml:space="preserve"> et </w:t>
      </w:r>
      <w:proofErr w:type="spellStart"/>
      <w:r w:rsidRPr="0094067A">
        <w:rPr>
          <w:rStyle w:val="lev"/>
          <w:rFonts w:ascii="Garamond" w:hAnsi="Garamond" w:cs="Tahoma"/>
          <w:b w:val="0"/>
          <w:bCs w:val="0"/>
          <w:bdr w:val="none" w:sz="0" w:space="0" w:color="auto" w:frame="1"/>
          <w:lang w:val="fr-FR"/>
        </w:rPr>
        <w:t>Baha</w:t>
      </w:r>
      <w:proofErr w:type="spellEnd"/>
      <w:r w:rsidRPr="0094067A">
        <w:rPr>
          <w:rStyle w:val="lev"/>
          <w:rFonts w:ascii="Garamond" w:hAnsi="Garamond" w:cs="Tahoma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94067A">
        <w:rPr>
          <w:rStyle w:val="lev"/>
          <w:rFonts w:ascii="Garamond" w:hAnsi="Garamond" w:cs="Tahoma"/>
          <w:b w:val="0"/>
          <w:bCs w:val="0"/>
          <w:bdr w:val="none" w:sz="0" w:space="0" w:color="auto" w:frame="1"/>
          <w:lang w:val="fr-FR"/>
        </w:rPr>
        <w:t>Tevfik</w:t>
      </w:r>
      <w:proofErr w:type="spellEnd"/>
      <w:r w:rsidRPr="0094067A">
        <w:rPr>
          <w:rFonts w:ascii="Garamond" w:hAnsi="Garamond" w:cs="Arial"/>
          <w:b/>
          <w:bCs/>
          <w:lang w:val="fr-FR"/>
        </w:rPr>
        <w:t xml:space="preserve">, </w:t>
      </w:r>
      <w:r w:rsidRPr="0094067A">
        <w:rPr>
          <w:rStyle w:val="lev"/>
          <w:rFonts w:ascii="Garamond" w:hAnsi="Garamond" w:cs="Tahoma"/>
          <w:b w:val="0"/>
          <w:bCs w:val="0"/>
          <w:bdr w:val="none" w:sz="0" w:space="0" w:color="auto" w:frame="1"/>
          <w:lang w:val="fr-FR"/>
        </w:rPr>
        <w:t xml:space="preserve">auteurs matérialistes turcs de l’Empire ottoman », </w:t>
      </w:r>
      <w:r w:rsidRPr="0094067A">
        <w:rPr>
          <w:rStyle w:val="lev"/>
          <w:rFonts w:ascii="Garamond" w:hAnsi="Garamond" w:cs="Tahoma"/>
          <w:b w:val="0"/>
          <w:bCs w:val="0"/>
          <w:i/>
          <w:iCs/>
          <w:bdr w:val="none" w:sz="0" w:space="0" w:color="auto" w:frame="1"/>
          <w:lang w:val="fr-FR"/>
        </w:rPr>
        <w:t xml:space="preserve">In </w:t>
      </w:r>
      <w:proofErr w:type="spellStart"/>
      <w:r w:rsidRPr="0094067A">
        <w:rPr>
          <w:rStyle w:val="lev"/>
          <w:rFonts w:ascii="Garamond" w:hAnsi="Garamond" w:cs="Tahoma"/>
          <w:b w:val="0"/>
          <w:bCs w:val="0"/>
          <w:i/>
          <w:iCs/>
          <w:bdr w:val="none" w:sz="0" w:space="0" w:color="auto" w:frame="1"/>
          <w:lang w:val="fr-FR"/>
        </w:rPr>
        <w:t>Circolo</w:t>
      </w:r>
      <w:proofErr w:type="spellEnd"/>
      <w:r w:rsidRPr="0094067A">
        <w:rPr>
          <w:rStyle w:val="lev"/>
          <w:rFonts w:ascii="Garamond" w:hAnsi="Garamond" w:cs="Tahoma"/>
          <w:b w:val="0"/>
          <w:bCs w:val="0"/>
          <w:i/>
          <w:iCs/>
          <w:bdr w:val="none" w:sz="0" w:space="0" w:color="auto" w:frame="1"/>
          <w:lang w:val="fr-FR"/>
        </w:rPr>
        <w:t xml:space="preserve">. </w:t>
      </w:r>
      <w:proofErr w:type="spellStart"/>
      <w:r w:rsidRPr="00CC6273">
        <w:rPr>
          <w:rStyle w:val="lev"/>
          <w:rFonts w:ascii="Garamond" w:hAnsi="Garamond" w:cs="Tahoma"/>
          <w:b w:val="0"/>
          <w:bCs w:val="0"/>
          <w:i/>
          <w:iCs/>
          <w:bdr w:val="none" w:sz="0" w:space="0" w:color="auto" w:frame="1"/>
        </w:rPr>
        <w:t>Rivista</w:t>
      </w:r>
      <w:proofErr w:type="spellEnd"/>
      <w:r w:rsidRPr="00CC6273">
        <w:rPr>
          <w:rStyle w:val="lev"/>
          <w:rFonts w:ascii="Garamond" w:hAnsi="Garamond" w:cs="Tahoma"/>
          <w:b w:val="0"/>
          <w:bCs w:val="0"/>
          <w:i/>
          <w:iCs/>
          <w:bdr w:val="none" w:sz="0" w:space="0" w:color="auto" w:frame="1"/>
        </w:rPr>
        <w:t xml:space="preserve"> di </w:t>
      </w:r>
      <w:proofErr w:type="spellStart"/>
      <w:r w:rsidRPr="00CC6273">
        <w:rPr>
          <w:rStyle w:val="lev"/>
          <w:rFonts w:ascii="Garamond" w:hAnsi="Garamond" w:cs="Tahoma"/>
          <w:b w:val="0"/>
          <w:bCs w:val="0"/>
          <w:i/>
          <w:iCs/>
          <w:bdr w:val="none" w:sz="0" w:space="0" w:color="auto" w:frame="1"/>
        </w:rPr>
        <w:t>filosofia</w:t>
      </w:r>
      <w:proofErr w:type="spellEnd"/>
      <w:r w:rsidRPr="00CC6273">
        <w:rPr>
          <w:rStyle w:val="lev"/>
          <w:rFonts w:ascii="Garamond" w:hAnsi="Garamond" w:cs="Tahoma"/>
          <w:b w:val="0"/>
          <w:bCs w:val="0"/>
          <w:i/>
          <w:iCs/>
          <w:bdr w:val="none" w:sz="0" w:space="0" w:color="auto" w:frame="1"/>
        </w:rPr>
        <w:t xml:space="preserve"> e </w:t>
      </w:r>
      <w:proofErr w:type="spellStart"/>
      <w:r w:rsidRPr="00CC6273">
        <w:rPr>
          <w:rStyle w:val="lev"/>
          <w:rFonts w:ascii="Garamond" w:hAnsi="Garamond" w:cs="Tahoma"/>
          <w:b w:val="0"/>
          <w:bCs w:val="0"/>
          <w:i/>
          <w:iCs/>
          <w:bdr w:val="none" w:sz="0" w:space="0" w:color="auto" w:frame="1"/>
        </w:rPr>
        <w:t>culture</w:t>
      </w:r>
      <w:proofErr w:type="spellEnd"/>
      <w:r w:rsidRPr="00CC6273">
        <w:rPr>
          <w:rStyle w:val="lev"/>
          <w:rFonts w:ascii="Garamond" w:hAnsi="Garamond" w:cs="Tahoma"/>
          <w:b w:val="0"/>
          <w:bCs w:val="0"/>
          <w:bdr w:val="none" w:sz="0" w:space="0" w:color="auto" w:frame="1"/>
        </w:rPr>
        <w:t xml:space="preserve"> n°9, </w:t>
      </w:r>
      <w:proofErr w:type="spellStart"/>
      <w:r w:rsidRPr="00CC6273">
        <w:rPr>
          <w:rStyle w:val="lev"/>
          <w:rFonts w:ascii="Garamond" w:hAnsi="Garamond" w:cs="Tahoma"/>
          <w:b w:val="0"/>
          <w:bCs w:val="0"/>
          <w:bdr w:val="none" w:sz="0" w:space="0" w:color="auto" w:frame="1"/>
        </w:rPr>
        <w:t>juillet</w:t>
      </w:r>
      <w:proofErr w:type="spellEnd"/>
      <w:r w:rsidRPr="00CC6273">
        <w:rPr>
          <w:rStyle w:val="lev"/>
          <w:rFonts w:ascii="Garamond" w:hAnsi="Garamond" w:cs="Tahoma"/>
          <w:b w:val="0"/>
          <w:bCs w:val="0"/>
          <w:bdr w:val="none" w:sz="0" w:space="0" w:color="auto" w:frame="1"/>
        </w:rPr>
        <w:t xml:space="preserve"> 2020, p.224-244.</w:t>
      </w:r>
    </w:p>
    <w:p w14:paraId="63661087" w14:textId="77777777" w:rsidR="0051538E" w:rsidRPr="001573C2" w:rsidRDefault="0051538E" w:rsidP="0051538E">
      <w:pPr>
        <w:pStyle w:val="Paragraphedeliste"/>
        <w:widowControl w:val="0"/>
        <w:numPr>
          <w:ilvl w:val="0"/>
          <w:numId w:val="4"/>
        </w:numPr>
        <w:suppressAutoHyphens/>
        <w:jc w:val="both"/>
        <w:rPr>
          <w:rFonts w:ascii="Garamond" w:eastAsia="SimSun" w:hAnsi="Garamond" w:cs="Times New Roman"/>
          <w:bCs/>
          <w:kern w:val="2"/>
          <w:lang w:val="fr-FR" w:eastAsia="hi-IN" w:bidi="hi-IN"/>
        </w:rPr>
      </w:pPr>
      <w:r w:rsidRPr="001573C2">
        <w:rPr>
          <w:rFonts w:ascii="Garamond" w:eastAsia="SimSun" w:hAnsi="Garamond" w:cs="Times New Roman"/>
          <w:bCs/>
          <w:kern w:val="2"/>
          <w:lang w:val="fr-FR" w:eastAsia="hi-IN" w:bidi="hi-IN"/>
        </w:rPr>
        <w:t>« </w:t>
      </w:r>
      <w:hyperlink r:id="rId7" w:anchor="tocto1n3" w:history="1">
        <w:r w:rsidRPr="001573C2">
          <w:rPr>
            <w:rStyle w:val="Lienhypertexte"/>
            <w:rFonts w:ascii="Garamond" w:hAnsi="Garamond"/>
            <w:bCs/>
            <w:shd w:val="clear" w:color="auto" w:fill="FFFFFF"/>
            <w:lang w:val="fr-FR"/>
          </w:rPr>
          <w:t>Le difficile ajustement des temporalités philosophiques, politiques et des pensées populaires</w:t>
        </w:r>
      </w:hyperlink>
      <w:r w:rsidRPr="001573C2">
        <w:rPr>
          <w:rFonts w:ascii="Garamond" w:hAnsi="Garamond"/>
          <w:lang w:val="fr-FR"/>
        </w:rPr>
        <w:t>“ contribu</w:t>
      </w:r>
      <w:r>
        <w:rPr>
          <w:rFonts w:ascii="Garamond" w:hAnsi="Garamond"/>
          <w:lang w:val="fr-FR"/>
        </w:rPr>
        <w:t xml:space="preserve">tion à la Table-ronde autour </w:t>
      </w:r>
      <w:r w:rsidRPr="001573C2">
        <w:rPr>
          <w:rFonts w:ascii="Garamond" w:hAnsi="Garamond"/>
          <w:shd w:val="clear" w:color="auto" w:fill="FFFFFF"/>
          <w:lang w:val="fr-FR"/>
        </w:rPr>
        <w:t>du livre d’</w:t>
      </w:r>
      <w:proofErr w:type="spellStart"/>
      <w:r w:rsidRPr="001573C2">
        <w:rPr>
          <w:rFonts w:ascii="Garamond" w:hAnsi="Garamond"/>
          <w:shd w:val="clear" w:color="auto" w:fill="FFFFFF"/>
          <w:lang w:val="fr-FR"/>
        </w:rPr>
        <w:t>Ayşe</w:t>
      </w:r>
      <w:proofErr w:type="spellEnd"/>
      <w:r w:rsidRPr="001573C2">
        <w:rPr>
          <w:rFonts w:ascii="Garamond" w:hAnsi="Garamond"/>
          <w:shd w:val="clear" w:color="auto" w:fill="FFFFFF"/>
          <w:lang w:val="fr-FR"/>
        </w:rPr>
        <w:t> Yuva </w:t>
      </w:r>
      <w:r w:rsidRPr="001573C2">
        <w:rPr>
          <w:rStyle w:val="Accentuation"/>
          <w:rFonts w:ascii="Garamond" w:hAnsi="Garamond"/>
          <w:shd w:val="clear" w:color="auto" w:fill="FFFFFF"/>
          <w:lang w:val="fr-FR"/>
        </w:rPr>
        <w:t>Transformer le monde ? L’efficace de la philosophie en temps de révolution, 1794-1815</w:t>
      </w:r>
      <w:r>
        <w:rPr>
          <w:rFonts w:ascii="Garamond" w:hAnsi="Garamond"/>
          <w:shd w:val="clear" w:color="auto" w:fill="FFFFFF"/>
          <w:lang w:val="fr-FR"/>
        </w:rPr>
        <w:t>, Paris, MSH, 2016</w:t>
      </w:r>
      <w:r w:rsidRPr="001573C2">
        <w:rPr>
          <w:rFonts w:ascii="Garamond" w:hAnsi="Garamond"/>
          <w:shd w:val="clear" w:color="auto" w:fill="FFFFFF"/>
          <w:lang w:val="fr-FR"/>
        </w:rPr>
        <w:t xml:space="preserve">, organisée le 27 mars 2017 à la Sorbonne, avec la participation de Christian Berner, Stéphane Haber et </w:t>
      </w:r>
      <w:proofErr w:type="spellStart"/>
      <w:r w:rsidRPr="001573C2">
        <w:rPr>
          <w:rFonts w:ascii="Garamond" w:hAnsi="Garamond"/>
          <w:shd w:val="clear" w:color="auto" w:fill="FFFFFF"/>
          <w:lang w:val="fr-FR"/>
        </w:rPr>
        <w:t>Ayşe</w:t>
      </w:r>
      <w:proofErr w:type="spellEnd"/>
      <w:r w:rsidRPr="001573C2">
        <w:rPr>
          <w:rFonts w:ascii="Garamond" w:hAnsi="Garamond"/>
          <w:shd w:val="clear" w:color="auto" w:fill="FFFFFF"/>
          <w:lang w:val="fr-FR"/>
        </w:rPr>
        <w:t xml:space="preserve"> Yuva, in </w:t>
      </w:r>
      <w:proofErr w:type="spellStart"/>
      <w:r w:rsidRPr="001573C2">
        <w:rPr>
          <w:rFonts w:ascii="Garamond" w:hAnsi="Garamond"/>
          <w:i/>
          <w:shd w:val="clear" w:color="auto" w:fill="FFFFFF"/>
          <w:lang w:val="fr-FR"/>
        </w:rPr>
        <w:t>Philosonsorbonne</w:t>
      </w:r>
      <w:proofErr w:type="spellEnd"/>
      <w:r w:rsidRPr="001573C2">
        <w:rPr>
          <w:rFonts w:ascii="Garamond" w:hAnsi="Garamond"/>
          <w:shd w:val="clear" w:color="auto" w:fill="FFFFFF"/>
          <w:lang w:val="fr-FR"/>
        </w:rPr>
        <w:t xml:space="preserve"> n°12, 2018, 2018, </w:t>
      </w:r>
      <w:r>
        <w:rPr>
          <w:rFonts w:ascii="Garamond" w:hAnsi="Garamond"/>
          <w:shd w:val="clear" w:color="auto" w:fill="FFFFFF"/>
          <w:lang w:val="fr-FR"/>
        </w:rPr>
        <w:t>p.</w:t>
      </w:r>
      <w:r w:rsidRPr="001573C2">
        <w:rPr>
          <w:rFonts w:ascii="Garamond" w:hAnsi="Garamond"/>
          <w:shd w:val="clear" w:color="auto" w:fill="FFFFFF"/>
          <w:lang w:val="fr-FR"/>
        </w:rPr>
        <w:t xml:space="preserve">155-173, consultable à l’adresse URL : </w:t>
      </w:r>
    </w:p>
    <w:p w14:paraId="5D94FA9C" w14:textId="77777777" w:rsidR="0051538E" w:rsidRDefault="0051538E" w:rsidP="0051538E">
      <w:pPr>
        <w:widowControl w:val="0"/>
        <w:suppressAutoHyphens/>
        <w:jc w:val="both"/>
        <w:rPr>
          <w:rFonts w:ascii="Garamond" w:hAnsi="Garamond"/>
          <w:shd w:val="clear" w:color="auto" w:fill="FFFFFF"/>
          <w:lang w:val="fr-FR"/>
        </w:rPr>
      </w:pPr>
      <w:r w:rsidRPr="001573C2">
        <w:rPr>
          <w:rFonts w:ascii="Garamond" w:hAnsi="Garamond"/>
          <w:shd w:val="clear" w:color="auto" w:fill="FFFFFF"/>
          <w:lang w:val="fr-FR"/>
        </w:rPr>
        <w:t xml:space="preserve">      </w:t>
      </w:r>
      <w:hyperlink r:id="rId8" w:history="1">
        <w:r w:rsidRPr="00231919">
          <w:rPr>
            <w:rStyle w:val="Lienhypertexte"/>
            <w:rFonts w:ascii="Garamond" w:hAnsi="Garamond"/>
            <w:shd w:val="clear" w:color="auto" w:fill="FFFFFF"/>
            <w:lang w:val="fr-FR"/>
          </w:rPr>
          <w:t>http://journals.openedition.org/philonsorbonne/98</w:t>
        </w:r>
      </w:hyperlink>
    </w:p>
    <w:p w14:paraId="375F1E45" w14:textId="77777777" w:rsidR="0051538E" w:rsidRPr="00180CD5" w:rsidRDefault="0051538E" w:rsidP="0051538E">
      <w:pPr>
        <w:widowControl w:val="0"/>
        <w:suppressAutoHyphens/>
        <w:overflowPunct w:val="0"/>
        <w:autoSpaceDE w:val="0"/>
        <w:jc w:val="both"/>
        <w:textAlignment w:val="baseline"/>
        <w:rPr>
          <w:rFonts w:ascii="Garamond" w:eastAsia="Times New Roman" w:hAnsi="Garamond" w:cs="Times New Roman"/>
          <w:b/>
          <w:bCs/>
          <w:kern w:val="2"/>
          <w:lang w:val="fr-FR" w:eastAsia="hi-IN" w:bidi="hi-IN"/>
        </w:rPr>
      </w:pPr>
    </w:p>
    <w:p w14:paraId="5719109C" w14:textId="77777777" w:rsidR="0051538E" w:rsidRDefault="0051538E" w:rsidP="0051538E">
      <w:pPr>
        <w:pStyle w:val="Paragraphedeliste"/>
        <w:widowControl w:val="0"/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rFonts w:ascii="Garamond" w:eastAsia="Times New Roman" w:hAnsi="Garamond" w:cs="Times New Roman"/>
          <w:kern w:val="2"/>
          <w:lang w:val="fr-FR" w:eastAsia="hi-IN" w:bidi="hi-IN"/>
        </w:rPr>
      </w:pPr>
      <w:r w:rsidRPr="00180CD5">
        <w:rPr>
          <w:rFonts w:ascii="Garamond" w:eastAsia="Times New Roman" w:hAnsi="Garamond" w:cs="Times New Roman"/>
          <w:kern w:val="2"/>
          <w:lang w:val="fr-FR" w:eastAsia="hi-IN" w:bidi="hi-IN"/>
        </w:rPr>
        <w:t xml:space="preserve">« L’efficace politique des discours philosophiques chez G. de Staël, B. Constant et J.G. Fichte, du Directoire aux guerres napoléoniennes », Actes du colloque </w:t>
      </w:r>
      <w:r w:rsidRPr="00180CD5">
        <w:rPr>
          <w:rFonts w:ascii="Garamond" w:eastAsia="Times New Roman" w:hAnsi="Garamond" w:cs="Times New Roman"/>
          <w:i/>
          <w:iCs/>
          <w:kern w:val="2"/>
          <w:lang w:val="fr-FR" w:eastAsia="hi-IN" w:bidi="hi-IN"/>
        </w:rPr>
        <w:t>La rhétorique démocratique en temps de crise</w:t>
      </w:r>
      <w:r w:rsidRPr="00180CD5">
        <w:rPr>
          <w:rFonts w:ascii="Garamond" w:eastAsia="Times New Roman" w:hAnsi="Garamond" w:cs="Times New Roman"/>
          <w:kern w:val="2"/>
          <w:lang w:val="fr-FR" w:eastAsia="hi-IN" w:bidi="hi-IN"/>
        </w:rPr>
        <w:t> », Nice, 20 et 21 janvier 2011, portail des Revues électroniques de l’Université de Nice, adresse URL :</w:t>
      </w:r>
    </w:p>
    <w:p w14:paraId="779F1ED0" w14:textId="77777777" w:rsidR="0051538E" w:rsidRPr="001573C2" w:rsidRDefault="0051538E" w:rsidP="0051538E">
      <w:pPr>
        <w:pStyle w:val="Paragraphedeliste"/>
        <w:widowControl w:val="0"/>
        <w:suppressAutoHyphens/>
        <w:overflowPunct w:val="0"/>
        <w:autoSpaceDE w:val="0"/>
        <w:ind w:left="360"/>
        <w:jc w:val="both"/>
        <w:textAlignment w:val="baseline"/>
        <w:rPr>
          <w:rStyle w:val="Lienhypertexte"/>
          <w:rFonts w:ascii="Garamond" w:eastAsia="Times New Roman" w:hAnsi="Garamond" w:cs="Times New Roman"/>
          <w:kern w:val="2"/>
          <w:lang w:val="fr-FR" w:eastAsia="hi-IN" w:bidi="hi-IN"/>
        </w:rPr>
      </w:pPr>
      <w:hyperlink r:id="rId9" w:history="1">
        <w:r w:rsidRPr="001573C2">
          <w:rPr>
            <w:rStyle w:val="Lienhypertexte"/>
            <w:rFonts w:ascii="Garamond" w:eastAsia="SimSun" w:hAnsi="Garamond" w:cs="Times New Roman"/>
            <w:color w:val="000080"/>
            <w:kern w:val="2"/>
            <w:lang w:val="fr-FR" w:eastAsia="hi-IN" w:bidi="hi-IN"/>
          </w:rPr>
          <w:t>http://revel.unice.fr/symposia/rhetoriquedemocratique/index.html?id=848</w:t>
        </w:r>
      </w:hyperlink>
    </w:p>
    <w:p w14:paraId="2E6E1237" w14:textId="77777777" w:rsidR="0051538E" w:rsidRPr="00236D8C" w:rsidRDefault="0051538E" w:rsidP="0051538E">
      <w:pPr>
        <w:widowControl w:val="0"/>
        <w:suppressAutoHyphens/>
        <w:spacing w:after="120"/>
        <w:jc w:val="both"/>
        <w:rPr>
          <w:rFonts w:ascii="Garamond" w:eastAsia="SimSun" w:hAnsi="Garamond" w:cs="Times New Roman"/>
          <w:b/>
          <w:bCs/>
          <w:kern w:val="2"/>
          <w:lang w:val="fr-FR" w:eastAsia="hi-IN" w:bidi="hi-IN"/>
        </w:rPr>
      </w:pPr>
    </w:p>
    <w:p w14:paraId="4FBD9D2C" w14:textId="77777777" w:rsidR="0051538E" w:rsidRPr="000F1E63" w:rsidRDefault="0051538E" w:rsidP="0051538E">
      <w:pPr>
        <w:pStyle w:val="Titre3"/>
        <w:jc w:val="both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Traductions</w:t>
      </w:r>
      <w:proofErr w:type="spellEnd"/>
    </w:p>
    <w:p w14:paraId="38438EFB" w14:textId="77777777" w:rsidR="0051538E" w:rsidRPr="00180CD5" w:rsidRDefault="0051538E" w:rsidP="0051538E">
      <w:pPr>
        <w:pStyle w:val="NormalWeb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180CD5">
        <w:rPr>
          <w:rFonts w:ascii="Garamond" w:hAnsi="Garamond"/>
          <w:lang w:val="de-DE"/>
        </w:rPr>
        <w:t xml:space="preserve">J.G. Herder, « Kritische Wälder » in </w:t>
      </w:r>
      <w:r w:rsidRPr="00180CD5">
        <w:rPr>
          <w:rFonts w:ascii="Garamond" w:hAnsi="Garamond"/>
          <w:i/>
          <w:iCs/>
          <w:lang w:val="de-DE"/>
        </w:rPr>
        <w:t xml:space="preserve">Herder. Schriften zur Ästhetik und Literatur. </w:t>
      </w:r>
      <w:r w:rsidRPr="00180CD5">
        <w:rPr>
          <w:rFonts w:ascii="Garamond" w:hAnsi="Garamond"/>
          <w:i/>
          <w:iCs/>
        </w:rPr>
        <w:t>1767-1781</w:t>
      </w:r>
      <w:r w:rsidRPr="00180CD5">
        <w:rPr>
          <w:rFonts w:ascii="Garamond" w:hAnsi="Garamond"/>
        </w:rPr>
        <w:t xml:space="preserve">, Frankfurt/Main, Deutscher </w:t>
      </w:r>
      <w:proofErr w:type="spellStart"/>
      <w:r w:rsidRPr="00180CD5">
        <w:rPr>
          <w:rFonts w:ascii="Garamond" w:hAnsi="Garamond"/>
        </w:rPr>
        <w:t>Klassikler</w:t>
      </w:r>
      <w:proofErr w:type="spellEnd"/>
      <w:r w:rsidRPr="00180CD5">
        <w:rPr>
          <w:rFonts w:ascii="Garamond" w:hAnsi="Garamond"/>
        </w:rPr>
        <w:t xml:space="preserve"> </w:t>
      </w:r>
      <w:proofErr w:type="spellStart"/>
      <w:r w:rsidRPr="00180CD5">
        <w:rPr>
          <w:rFonts w:ascii="Garamond" w:hAnsi="Garamond"/>
        </w:rPr>
        <w:t>Verlag</w:t>
      </w:r>
      <w:proofErr w:type="spellEnd"/>
      <w:r w:rsidRPr="00180CD5">
        <w:rPr>
          <w:rFonts w:ascii="Garamond" w:hAnsi="Garamond"/>
        </w:rPr>
        <w:t>, 1993, p.</w:t>
      </w:r>
      <w:r w:rsidRPr="009421E8">
        <w:rPr>
          <w:rFonts w:ascii="Garamond" w:hAnsi="Garamond"/>
        </w:rPr>
        <w:t>11-442.</w:t>
      </w:r>
      <w:r w:rsidRPr="00180CD5">
        <w:rPr>
          <w:rFonts w:ascii="Garamond" w:hAnsi="Garamond"/>
        </w:rPr>
        <w:t xml:space="preserve"> La remise du manuscrit est prévue pour </w:t>
      </w:r>
      <w:r>
        <w:rPr>
          <w:rFonts w:ascii="Garamond" w:hAnsi="Garamond"/>
        </w:rPr>
        <w:t>2026</w:t>
      </w:r>
      <w:r w:rsidRPr="00180CD5">
        <w:rPr>
          <w:rFonts w:ascii="Garamond" w:hAnsi="Garamond"/>
        </w:rPr>
        <w:t>.</w:t>
      </w:r>
    </w:p>
    <w:p w14:paraId="12D0FF8A" w14:textId="77777777" w:rsidR="0051538E" w:rsidRPr="00180CD5" w:rsidRDefault="0051538E" w:rsidP="0051538E">
      <w:pPr>
        <w:pStyle w:val="NormalWeb"/>
        <w:numPr>
          <w:ilvl w:val="0"/>
          <w:numId w:val="2"/>
        </w:numPr>
        <w:jc w:val="both"/>
        <w:rPr>
          <w:rFonts w:ascii="Garamond" w:hAnsi="Garamond"/>
        </w:rPr>
      </w:pPr>
      <w:r w:rsidRPr="00180CD5">
        <w:rPr>
          <w:rFonts w:ascii="Garamond" w:hAnsi="Garamond"/>
        </w:rPr>
        <w:t>Fabian Link, « Peuple (</w:t>
      </w:r>
      <w:proofErr w:type="spellStart"/>
      <w:r w:rsidRPr="00180CD5">
        <w:rPr>
          <w:rFonts w:ascii="Garamond" w:hAnsi="Garamond"/>
        </w:rPr>
        <w:t>Volk</w:t>
      </w:r>
      <w:proofErr w:type="spellEnd"/>
      <w:r w:rsidRPr="00180CD5">
        <w:rPr>
          <w:rFonts w:ascii="Garamond" w:hAnsi="Garamond"/>
        </w:rPr>
        <w:t xml:space="preserve">) et Race (Rasse) » in Olivier </w:t>
      </w:r>
      <w:proofErr w:type="spellStart"/>
      <w:r w:rsidRPr="00180CD5">
        <w:rPr>
          <w:rFonts w:ascii="Garamond" w:hAnsi="Garamond"/>
        </w:rPr>
        <w:t>Christin</w:t>
      </w:r>
      <w:proofErr w:type="spellEnd"/>
      <w:r w:rsidRPr="00180CD5">
        <w:rPr>
          <w:rFonts w:ascii="Garamond" w:hAnsi="Garamond"/>
        </w:rPr>
        <w:t xml:space="preserve"> (</w:t>
      </w:r>
      <w:proofErr w:type="spellStart"/>
      <w:r w:rsidRPr="00180CD5">
        <w:rPr>
          <w:rFonts w:ascii="Garamond" w:hAnsi="Garamond"/>
        </w:rPr>
        <w:t>dir</w:t>
      </w:r>
      <w:proofErr w:type="spellEnd"/>
      <w:r w:rsidRPr="00180CD5">
        <w:rPr>
          <w:rFonts w:ascii="Garamond" w:hAnsi="Garamond"/>
        </w:rPr>
        <w:t xml:space="preserve">.), </w:t>
      </w:r>
      <w:r w:rsidRPr="00180CD5">
        <w:rPr>
          <w:rFonts w:ascii="Garamond" w:hAnsi="Garamond"/>
          <w:i/>
          <w:iCs/>
        </w:rPr>
        <w:t>Dictionnaires des concepts nomades</w:t>
      </w:r>
      <w:r w:rsidRPr="00180CD5">
        <w:rPr>
          <w:rFonts w:ascii="Garamond" w:hAnsi="Garamond"/>
        </w:rPr>
        <w:t>, vol. 2, Paris, Editions Métailié, 2016, pp. 67-82.</w:t>
      </w:r>
    </w:p>
    <w:p w14:paraId="76E80821" w14:textId="77777777" w:rsidR="0051538E" w:rsidRPr="002D1488" w:rsidRDefault="0051538E" w:rsidP="0051538E">
      <w:pPr>
        <w:pStyle w:val="NormalWeb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180CD5">
        <w:rPr>
          <w:rFonts w:ascii="Garamond" w:hAnsi="Garamond"/>
        </w:rPr>
        <w:t xml:space="preserve">« Qu'appelle-t-on et à quelle fin étudie-t-on l'histoire </w:t>
      </w:r>
      <w:proofErr w:type="gramStart"/>
      <w:r w:rsidRPr="00180CD5">
        <w:rPr>
          <w:rFonts w:ascii="Garamond" w:hAnsi="Garamond"/>
        </w:rPr>
        <w:t>universelle?</w:t>
      </w:r>
      <w:proofErr w:type="gramEnd"/>
      <w:r w:rsidRPr="00180CD5">
        <w:rPr>
          <w:rFonts w:ascii="Garamond" w:hAnsi="Garamond"/>
        </w:rPr>
        <w:t xml:space="preserve"> », traduction et présentation du texte de F. Schiller, in </w:t>
      </w:r>
      <w:r w:rsidRPr="00180CD5">
        <w:rPr>
          <w:rFonts w:ascii="Garamond" w:hAnsi="Garamond"/>
          <w:i/>
          <w:iCs/>
        </w:rPr>
        <w:t>Philosophie</w:t>
      </w:r>
      <w:r w:rsidRPr="00180CD5">
        <w:rPr>
          <w:rFonts w:ascii="Garamond" w:hAnsi="Garamond"/>
        </w:rPr>
        <w:t>, Paris, Editions de Minuit, numéro 96, hiver 2007, p.3-24.</w:t>
      </w:r>
      <w:bookmarkStart w:id="6" w:name="_Toc402517535"/>
      <w:bookmarkEnd w:id="6"/>
    </w:p>
    <w:p w14:paraId="3E8CC044" w14:textId="77777777" w:rsidR="0051538E" w:rsidRPr="008009D2" w:rsidRDefault="0051538E" w:rsidP="0051538E">
      <w:pPr>
        <w:pStyle w:val="Titre3"/>
        <w:spacing w:after="120"/>
        <w:jc w:val="both"/>
        <w:rPr>
          <w:rFonts w:ascii="Cambria" w:hAnsi="Cambria"/>
          <w:sz w:val="26"/>
          <w:szCs w:val="26"/>
          <w:lang w:val="fr-FR"/>
        </w:rPr>
      </w:pPr>
      <w:r w:rsidRPr="008009D2">
        <w:rPr>
          <w:rFonts w:ascii="Cambria" w:hAnsi="Cambria"/>
          <w:sz w:val="26"/>
          <w:szCs w:val="26"/>
          <w:lang w:val="fr-FR"/>
        </w:rPr>
        <w:t>Recensions</w:t>
      </w:r>
    </w:p>
    <w:p w14:paraId="38B8C84C" w14:textId="77777777" w:rsidR="0051538E" w:rsidRDefault="0051538E" w:rsidP="0051538E">
      <w:pPr>
        <w:pStyle w:val="NormalWeb"/>
        <w:numPr>
          <w:ilvl w:val="0"/>
          <w:numId w:val="5"/>
        </w:numPr>
        <w:spacing w:before="0" w:beforeAutospacing="0" w:after="120"/>
        <w:ind w:left="714" w:hanging="357"/>
        <w:rPr>
          <w:rFonts w:ascii="Garamond" w:hAnsi="Garamond"/>
        </w:rPr>
      </w:pPr>
      <w:r>
        <w:rPr>
          <w:rFonts w:ascii="Garamond" w:hAnsi="Garamond"/>
        </w:rPr>
        <w:t xml:space="preserve">Lucien </w:t>
      </w:r>
      <w:proofErr w:type="spellStart"/>
      <w:r>
        <w:rPr>
          <w:rFonts w:ascii="Garamond" w:hAnsi="Garamond"/>
        </w:rPr>
        <w:t>Calvié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Le renard et les raisins</w:t>
      </w:r>
      <w:r>
        <w:rPr>
          <w:rFonts w:ascii="Garamond" w:hAnsi="Garamond"/>
        </w:rPr>
        <w:t xml:space="preserve">, Parthenay, Inclinaison, 2018, à paraître dans </w:t>
      </w:r>
      <w:r w:rsidRPr="00180CD5">
        <w:rPr>
          <w:rFonts w:ascii="Garamond" w:hAnsi="Garamond"/>
          <w:i/>
        </w:rPr>
        <w:t>La Revue philosophique de la France et de l’étranger</w:t>
      </w:r>
      <w:r>
        <w:rPr>
          <w:rFonts w:ascii="Garamond" w:hAnsi="Garamond"/>
        </w:rPr>
        <w:t>, Paris, PUF, 2020</w:t>
      </w:r>
    </w:p>
    <w:p w14:paraId="23E8CC0D" w14:textId="77777777" w:rsidR="0051538E" w:rsidRDefault="0051538E" w:rsidP="0051538E">
      <w:pPr>
        <w:pStyle w:val="NormalWeb"/>
        <w:numPr>
          <w:ilvl w:val="0"/>
          <w:numId w:val="5"/>
        </w:numPr>
        <w:spacing w:before="0" w:beforeAutospacing="0" w:after="120"/>
        <w:ind w:left="714" w:hanging="357"/>
        <w:rPr>
          <w:rFonts w:ascii="Garamond" w:hAnsi="Garamond"/>
        </w:rPr>
      </w:pPr>
      <w:r>
        <w:rPr>
          <w:rFonts w:ascii="Garamond" w:hAnsi="Garamond"/>
        </w:rPr>
        <w:t xml:space="preserve">Bertrand Binoche, </w:t>
      </w:r>
      <w:r w:rsidRPr="00BA1FA1">
        <w:rPr>
          <w:rFonts w:ascii="Garamond" w:hAnsi="Garamond"/>
          <w:i/>
        </w:rPr>
        <w:t xml:space="preserve">Nommer l’histoire, </w:t>
      </w:r>
      <w:r w:rsidRPr="00BA1FA1">
        <w:rPr>
          <w:rFonts w:ascii="Garamond" w:hAnsi="Garamond"/>
        </w:rPr>
        <w:t xml:space="preserve">Paris, éditions de l’EHESS, 2018, in </w:t>
      </w:r>
      <w:r w:rsidRPr="00BA1FA1">
        <w:rPr>
          <w:rFonts w:ascii="Garamond" w:hAnsi="Garamond"/>
          <w:i/>
        </w:rPr>
        <w:t>La Revue philosophique de la France et de l’étranger</w:t>
      </w:r>
      <w:r w:rsidRPr="00BA1FA1">
        <w:rPr>
          <w:rFonts w:ascii="Garamond" w:hAnsi="Garamond"/>
        </w:rPr>
        <w:t>, Paris, PUF, 2019/3 Tome 144, p.411.</w:t>
      </w:r>
    </w:p>
    <w:p w14:paraId="34E8CA4B" w14:textId="77777777" w:rsidR="0051538E" w:rsidRDefault="0051538E" w:rsidP="0051538E">
      <w:pPr>
        <w:pStyle w:val="NormalWeb"/>
        <w:numPr>
          <w:ilvl w:val="0"/>
          <w:numId w:val="5"/>
        </w:numPr>
        <w:spacing w:before="0" w:beforeAutospacing="0" w:after="120"/>
        <w:ind w:left="714" w:hanging="357"/>
        <w:rPr>
          <w:rFonts w:ascii="Garamond" w:hAnsi="Garamond"/>
        </w:rPr>
      </w:pPr>
      <w:r>
        <w:rPr>
          <w:rFonts w:ascii="Garamond" w:hAnsi="Garamond"/>
        </w:rPr>
        <w:t xml:space="preserve">Isaak </w:t>
      </w:r>
      <w:proofErr w:type="spellStart"/>
      <w:r>
        <w:rPr>
          <w:rFonts w:ascii="Garamond" w:hAnsi="Garamond"/>
        </w:rPr>
        <w:t>Iselin</w:t>
      </w:r>
      <w:proofErr w:type="spellEnd"/>
      <w:r>
        <w:rPr>
          <w:rFonts w:ascii="Garamond" w:hAnsi="Garamond"/>
        </w:rPr>
        <w:t xml:space="preserve">, </w:t>
      </w:r>
    </w:p>
    <w:p w14:paraId="61A5623B" w14:textId="77777777" w:rsidR="0051538E" w:rsidRPr="00180CD5" w:rsidRDefault="0051538E" w:rsidP="0051538E">
      <w:pPr>
        <w:pStyle w:val="NormalWeb"/>
        <w:numPr>
          <w:ilvl w:val="0"/>
          <w:numId w:val="5"/>
        </w:numPr>
        <w:spacing w:before="0" w:beforeAutospacing="0" w:after="120"/>
        <w:ind w:left="714" w:hanging="357"/>
        <w:rPr>
          <w:rFonts w:ascii="Garamond" w:hAnsi="Garamond"/>
        </w:rPr>
      </w:pPr>
      <w:r w:rsidRPr="00180CD5">
        <w:rPr>
          <w:rFonts w:ascii="Garamond" w:hAnsi="Garamond"/>
        </w:rPr>
        <w:t xml:space="preserve">Germaine de Staël, </w:t>
      </w:r>
      <w:r w:rsidRPr="00180CD5">
        <w:rPr>
          <w:rFonts w:ascii="Garamond" w:hAnsi="Garamond"/>
          <w:i/>
          <w:iCs/>
        </w:rPr>
        <w:t>Considérations sur les principaux événements de la Révolution française</w:t>
      </w:r>
      <w:r w:rsidRPr="00180CD5">
        <w:rPr>
          <w:rFonts w:ascii="Garamond" w:hAnsi="Garamond"/>
        </w:rPr>
        <w:t xml:space="preserve">. Sous la direction de Lucia </w:t>
      </w:r>
      <w:proofErr w:type="spellStart"/>
      <w:r w:rsidRPr="00180CD5">
        <w:rPr>
          <w:rFonts w:ascii="Garamond" w:hAnsi="Garamond"/>
        </w:rPr>
        <w:t>Omacini</w:t>
      </w:r>
      <w:proofErr w:type="spellEnd"/>
      <w:r w:rsidRPr="00180CD5">
        <w:rPr>
          <w:rFonts w:ascii="Garamond" w:hAnsi="Garamond"/>
        </w:rPr>
        <w:t>. Paris, Honoré Champion, 2017, 2 volumes</w:t>
      </w:r>
      <w:r>
        <w:rPr>
          <w:rFonts w:ascii="Garamond" w:hAnsi="Garamond"/>
        </w:rPr>
        <w:t>,</w:t>
      </w:r>
      <w:r w:rsidRPr="00180CD5">
        <w:rPr>
          <w:rFonts w:ascii="Garamond" w:hAnsi="Garamond"/>
        </w:rPr>
        <w:t xml:space="preserve"> </w:t>
      </w:r>
      <w:r w:rsidRPr="00180CD5">
        <w:rPr>
          <w:rFonts w:ascii="Garamond" w:hAnsi="Garamond"/>
          <w:i/>
        </w:rPr>
        <w:t>La Revue philosophique de la France et de l’étranger</w:t>
      </w:r>
      <w:r w:rsidRPr="00180CD5">
        <w:rPr>
          <w:rFonts w:ascii="Garamond" w:hAnsi="Garamond"/>
        </w:rPr>
        <w:t>, Paris, P.U.F.</w:t>
      </w:r>
      <w:r>
        <w:rPr>
          <w:rFonts w:ascii="Garamond" w:hAnsi="Garamond"/>
        </w:rPr>
        <w:t>, 2018/4, t.143, p.609-610.</w:t>
      </w:r>
    </w:p>
    <w:p w14:paraId="20B65A1C" w14:textId="77777777" w:rsidR="0051538E" w:rsidRPr="004F3017" w:rsidRDefault="0051538E" w:rsidP="0051538E">
      <w:pPr>
        <w:pStyle w:val="NormalWeb"/>
        <w:numPr>
          <w:ilvl w:val="0"/>
          <w:numId w:val="5"/>
        </w:numPr>
        <w:spacing w:after="0"/>
        <w:jc w:val="both"/>
        <w:rPr>
          <w:rFonts w:ascii="Garamond" w:hAnsi="Garamond"/>
          <w:lang w:val="de-DE"/>
        </w:rPr>
      </w:pPr>
      <w:r w:rsidRPr="00180CD5">
        <w:rPr>
          <w:rFonts w:ascii="Garamond" w:hAnsi="Garamond"/>
          <w:lang w:val="de-DE"/>
        </w:rPr>
        <w:t xml:space="preserve">Stephan Jaeger, </w:t>
      </w:r>
      <w:r w:rsidRPr="00180CD5">
        <w:rPr>
          <w:rFonts w:ascii="Garamond" w:hAnsi="Garamond"/>
          <w:i/>
          <w:iCs/>
          <w:lang w:val="de-DE"/>
        </w:rPr>
        <w:t>Performative Geschichtsschreibung. Forster, Herder, Schiller, Archenholz und die Brüder Schlegel</w:t>
      </w:r>
      <w:r w:rsidRPr="00180CD5">
        <w:rPr>
          <w:rFonts w:ascii="Garamond" w:hAnsi="Garamond"/>
          <w:lang w:val="de-DE"/>
        </w:rPr>
        <w:t xml:space="preserve">, Berlin/Boston, De Gruyter, 2011, </w:t>
      </w:r>
      <w:r w:rsidRPr="00180CD5">
        <w:rPr>
          <w:rFonts w:ascii="Garamond" w:hAnsi="Garamond"/>
          <w:i/>
          <w:iCs/>
          <w:lang w:val="de-DE"/>
        </w:rPr>
        <w:t xml:space="preserve">Herder </w:t>
      </w:r>
      <w:proofErr w:type="spellStart"/>
      <w:r w:rsidRPr="00180CD5">
        <w:rPr>
          <w:rFonts w:ascii="Garamond" w:hAnsi="Garamond"/>
          <w:i/>
          <w:iCs/>
          <w:lang w:val="de-DE"/>
        </w:rPr>
        <w:t>Yearbook</w:t>
      </w:r>
      <w:proofErr w:type="spellEnd"/>
      <w:r w:rsidRPr="00180CD5">
        <w:rPr>
          <w:rFonts w:ascii="Garamond" w:hAnsi="Garamond"/>
          <w:i/>
          <w:iCs/>
          <w:lang w:val="de-DE"/>
        </w:rPr>
        <w:t xml:space="preserve"> </w:t>
      </w:r>
      <w:r w:rsidRPr="00180CD5">
        <w:rPr>
          <w:rFonts w:ascii="Garamond" w:hAnsi="Garamond"/>
          <w:lang w:val="de-DE"/>
        </w:rPr>
        <w:t>2014.</w:t>
      </w:r>
    </w:p>
    <w:p w14:paraId="39460CFE" w14:textId="77777777" w:rsidR="003B1D32" w:rsidRDefault="003B1D32"/>
    <w:sectPr w:rsidR="003B1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868"/>
    <w:multiLevelType w:val="multilevel"/>
    <w:tmpl w:val="CC5C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E4EEA"/>
    <w:multiLevelType w:val="hybridMultilevel"/>
    <w:tmpl w:val="4FE687AA"/>
    <w:lvl w:ilvl="0" w:tplc="108E6D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84F2D"/>
    <w:multiLevelType w:val="hybridMultilevel"/>
    <w:tmpl w:val="0E0E9F98"/>
    <w:lvl w:ilvl="0" w:tplc="08F4D0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5F23AF"/>
    <w:multiLevelType w:val="multilevel"/>
    <w:tmpl w:val="34A0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516AE"/>
    <w:multiLevelType w:val="hybridMultilevel"/>
    <w:tmpl w:val="0C9E5466"/>
    <w:lvl w:ilvl="0" w:tplc="59161B8C">
      <w:start w:val="1"/>
      <w:numFmt w:val="decimal"/>
      <w:lvlText w:val="%1."/>
      <w:lvlJc w:val="left"/>
      <w:pPr>
        <w:ind w:left="360" w:hanging="360"/>
      </w:pPr>
      <w:rPr>
        <w:rFonts w:eastAsia="SimSu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544830"/>
    <w:multiLevelType w:val="hybridMultilevel"/>
    <w:tmpl w:val="8F9A6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8E"/>
    <w:rsid w:val="003B1D32"/>
    <w:rsid w:val="005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03FA"/>
  <w15:chartTrackingRefBased/>
  <w15:docId w15:val="{E6AFF9A8-9235-4E27-BF63-B5FD67E6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8E"/>
    <w:pPr>
      <w:spacing w:after="0" w:line="240" w:lineRule="auto"/>
    </w:pPr>
    <w:rPr>
      <w:sz w:val="24"/>
      <w:szCs w:val="24"/>
      <w:lang w:val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53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153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153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de-DE"/>
    </w:rPr>
  </w:style>
  <w:style w:type="character" w:customStyle="1" w:styleId="Titre3Car">
    <w:name w:val="Titre 3 Car"/>
    <w:basedOn w:val="Policepardfaut"/>
    <w:link w:val="Titre3"/>
    <w:uiPriority w:val="9"/>
    <w:rsid w:val="0051538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51538E"/>
    <w:pPr>
      <w:ind w:left="720"/>
      <w:contextualSpacing/>
    </w:pPr>
  </w:style>
  <w:style w:type="character" w:styleId="Lienhypertexte">
    <w:name w:val="Hyperlink"/>
    <w:basedOn w:val="Policepardfaut"/>
    <w:semiHidden/>
    <w:rsid w:val="0051538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538E"/>
    <w:pPr>
      <w:spacing w:before="100" w:beforeAutospacing="1" w:after="119"/>
    </w:pPr>
    <w:rPr>
      <w:rFonts w:ascii="Times New Roman" w:eastAsia="Times New Roman" w:hAnsi="Times New Roman" w:cs="Times New Roman"/>
      <w:lang w:val="fr-FR" w:eastAsia="fr-FR"/>
    </w:rPr>
  </w:style>
  <w:style w:type="character" w:styleId="Accentuation">
    <w:name w:val="Emphasis"/>
    <w:basedOn w:val="Policepardfaut"/>
    <w:uiPriority w:val="20"/>
    <w:qFormat/>
    <w:rsid w:val="0051538E"/>
    <w:rPr>
      <w:i/>
      <w:iCs/>
    </w:rPr>
  </w:style>
  <w:style w:type="character" w:styleId="lev">
    <w:name w:val="Strong"/>
    <w:basedOn w:val="Policepardfaut"/>
    <w:uiPriority w:val="22"/>
    <w:qFormat/>
    <w:rsid w:val="0051538E"/>
    <w:rPr>
      <w:b/>
      <w:bCs/>
    </w:rPr>
  </w:style>
  <w:style w:type="paragraph" w:customStyle="1" w:styleId="Standard">
    <w:name w:val="Standard"/>
    <w:rsid w:val="005153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openedition.org/philonsorbonne/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openedition.org/philonsorbonne/9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ph.univ-paris1.fr/phs4/numero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rf.revue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vel.unice.fr/symposia/rhetoriquedemocratique/index.html?id=84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1434</Words>
  <Characters>7357</Characters>
  <Application>Microsoft Office Word</Application>
  <DocSecurity>0</DocSecurity>
  <Lines>102</Lines>
  <Paragraphs>14</Paragraphs>
  <ScaleCrop>false</ScaleCrop>
  <Company>UP1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Safak Yuva</dc:creator>
  <cp:keywords/>
  <dc:description/>
  <cp:lastModifiedBy>Ayse Safak Yuva</cp:lastModifiedBy>
  <cp:revision>1</cp:revision>
  <dcterms:created xsi:type="dcterms:W3CDTF">2025-09-16T10:21:00Z</dcterms:created>
  <dcterms:modified xsi:type="dcterms:W3CDTF">2025-09-16T10:24:00Z</dcterms:modified>
</cp:coreProperties>
</file>